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F39E8" w14:textId="77777777" w:rsidR="006E7206" w:rsidRPr="006B1EC9" w:rsidRDefault="006E7206" w:rsidP="006B1EC9">
      <w:pPr>
        <w:pStyle w:val="Title"/>
      </w:pPr>
      <w:r>
        <w:t>Propositions d’innovation pour le CABHI</w:t>
      </w:r>
    </w:p>
    <w:p w14:paraId="71ED603B" w14:textId="77777777" w:rsidR="007A12D7" w:rsidRPr="00E83CE7" w:rsidRDefault="006E7206" w:rsidP="00E83CE7">
      <w:pPr>
        <w:pStyle w:val="Subtitle"/>
      </w:pPr>
      <w:bookmarkStart w:id="0" w:name="_GoBack"/>
      <w:r>
        <w:t>Dons en nature et directives pour les fonds de contrepartie</w:t>
      </w:r>
    </w:p>
    <w:bookmarkEnd w:id="0"/>
    <w:p w14:paraId="3A91A74D" w14:textId="77777777" w:rsidR="007A12D7" w:rsidRPr="008D246C" w:rsidRDefault="007A12D7" w:rsidP="0024687C">
      <w:pPr>
        <w:spacing w:after="0"/>
        <w:rPr>
          <w:rFonts w:ascii="Arial" w:hAnsi="Arial" w:cs="Arial"/>
          <w:b/>
          <w:sz w:val="12"/>
        </w:rPr>
      </w:pPr>
    </w:p>
    <w:p w14:paraId="00CC1629" w14:textId="77777777" w:rsidR="006E7206" w:rsidRDefault="006E7206" w:rsidP="008D246C">
      <w:pPr>
        <w:spacing w:after="120"/>
        <w:rPr>
          <w:rFonts w:ascii="Arial" w:hAnsi="Arial" w:cs="Arial"/>
          <w:b/>
          <w:color w:val="E36C0A" w:themeColor="accent6" w:themeShade="BF"/>
          <w:sz w:val="24"/>
        </w:rPr>
      </w:pPr>
    </w:p>
    <w:p w14:paraId="307AC690" w14:textId="77777777" w:rsidR="00E6209F" w:rsidRPr="008D246C" w:rsidRDefault="0098449F" w:rsidP="00E83CE7">
      <w:pPr>
        <w:pStyle w:val="Heading1"/>
      </w:pPr>
      <w:r>
        <w:t>PRINCIPES :</w:t>
      </w:r>
    </w:p>
    <w:p w14:paraId="71204778" w14:textId="77777777" w:rsidR="0098449F" w:rsidRPr="008D246C" w:rsidRDefault="00A97613" w:rsidP="008D246C">
      <w:pPr>
        <w:jc w:val="both"/>
        <w:rPr>
          <w:rFonts w:ascii="Arial" w:hAnsi="Arial" w:cs="Arial"/>
          <w:sz w:val="20"/>
        </w:rPr>
      </w:pPr>
      <w:r>
        <w:rPr>
          <w:rFonts w:ascii="Arial" w:hAnsi="Arial"/>
          <w:sz w:val="20"/>
        </w:rPr>
        <w:t>Les dons en nature sont définis comme la prestation de biens ou de services hors caisse à une organisation par l’un de ses partenaires, évalués sur le plan monétaire conformément aux règles convenues au préalable par le contributeur, ses partenaires en matière de soins aux personnes âgées et comptabilisés en tant que don au budget relatif au projet.</w:t>
      </w:r>
    </w:p>
    <w:p w14:paraId="7E62C508" w14:textId="77777777" w:rsidR="0024446C" w:rsidRPr="008D246C" w:rsidRDefault="007A12D7" w:rsidP="008D246C">
      <w:pPr>
        <w:spacing w:after="120"/>
        <w:jc w:val="both"/>
        <w:rPr>
          <w:rFonts w:ascii="Arial" w:hAnsi="Arial" w:cs="Arial"/>
          <w:sz w:val="20"/>
        </w:rPr>
      </w:pPr>
      <w:r>
        <w:rPr>
          <w:rFonts w:ascii="Arial" w:hAnsi="Arial"/>
          <w:sz w:val="20"/>
        </w:rPr>
        <w:t>Un don en nature peut se présenter sous l’une ou l’autre des formes suivantes :</w:t>
      </w:r>
    </w:p>
    <w:p w14:paraId="2E2DC4DC" w14:textId="77777777" w:rsidR="006E7206" w:rsidRPr="006E7206" w:rsidRDefault="0024446C" w:rsidP="006E7206">
      <w:pPr>
        <w:pStyle w:val="ListParagraph"/>
        <w:numPr>
          <w:ilvl w:val="0"/>
          <w:numId w:val="7"/>
        </w:numPr>
        <w:spacing w:after="0"/>
        <w:jc w:val="both"/>
        <w:rPr>
          <w:rFonts w:ascii="Arial" w:hAnsi="Arial" w:cs="Arial"/>
          <w:sz w:val="20"/>
        </w:rPr>
      </w:pPr>
      <w:r>
        <w:rPr>
          <w:rFonts w:ascii="Arial" w:hAnsi="Arial"/>
          <w:sz w:val="20"/>
        </w:rPr>
        <w:t xml:space="preserve">la fourniture directe d’un bien corporel pour le projet, ou </w:t>
      </w:r>
    </w:p>
    <w:p w14:paraId="2CE5F6A0" w14:textId="77777777" w:rsidR="0098449F" w:rsidRPr="008D246C" w:rsidRDefault="0024446C" w:rsidP="006E7206">
      <w:pPr>
        <w:pStyle w:val="ListParagraph"/>
        <w:numPr>
          <w:ilvl w:val="0"/>
          <w:numId w:val="7"/>
        </w:numPr>
        <w:spacing w:after="120"/>
        <w:jc w:val="both"/>
        <w:rPr>
          <w:rFonts w:ascii="Arial" w:hAnsi="Arial" w:cs="Arial"/>
          <w:sz w:val="20"/>
        </w:rPr>
      </w:pPr>
      <w:r>
        <w:rPr>
          <w:rFonts w:ascii="Arial" w:hAnsi="Arial"/>
          <w:sz w:val="20"/>
        </w:rPr>
        <w:t>une dépense engagée directement par le contributeur qui contribue directement au projet en vue d’atteindre les objectifs et les jalons.</w:t>
      </w:r>
    </w:p>
    <w:p w14:paraId="0D3335A4" w14:textId="77777777" w:rsidR="007A12D7" w:rsidRPr="008D246C" w:rsidRDefault="007A12D7" w:rsidP="006E7206">
      <w:pPr>
        <w:jc w:val="both"/>
        <w:rPr>
          <w:rFonts w:ascii="Arial" w:hAnsi="Arial" w:cs="Arial"/>
          <w:sz w:val="20"/>
        </w:rPr>
      </w:pPr>
      <w:r>
        <w:rPr>
          <w:rFonts w:ascii="Arial" w:hAnsi="Arial"/>
          <w:sz w:val="20"/>
        </w:rPr>
        <w:t>Les dons en nature peuvent comprendre des biens, l’utilisation de services et d’installations, le recours à des services professionnels ou à une expertise sous forme de temps accordé par le personnel, la fourniture d'équipement ou l’accès à celui-ci, de la documentation spéciale, etc. Ils sont considérés comme essentiels pour effectuer les tâches et atteindre les buts et les jalons relatifs au projet, comme convenu d’un commun accord par les partenaires. Ces coûts devraient être assumés s’ils n’étaient pas couverts par un partenaire. Ainsi, les dons en nature contribuent à réduire les besoins de trésorerie pour un projet.</w:t>
      </w:r>
    </w:p>
    <w:p w14:paraId="009D7C12" w14:textId="77777777" w:rsidR="00C6646B" w:rsidRPr="008D246C" w:rsidRDefault="00C6646B" w:rsidP="008D246C">
      <w:pPr>
        <w:jc w:val="both"/>
        <w:rPr>
          <w:rFonts w:ascii="Arial" w:hAnsi="Arial" w:cs="Arial"/>
          <w:sz w:val="20"/>
        </w:rPr>
      </w:pPr>
      <w:r>
        <w:rPr>
          <w:rFonts w:ascii="Arial" w:hAnsi="Arial"/>
          <w:b/>
          <w:sz w:val="20"/>
        </w:rPr>
        <w:t>La valeur du produit, de l’appareil ou de l'équipement directement testé ne sera pas considérée comme un don en nature dans le cadre du projet.</w:t>
      </w:r>
      <w:r>
        <w:rPr>
          <w:rFonts w:ascii="Arial" w:hAnsi="Arial"/>
          <w:sz w:val="20"/>
        </w:rPr>
        <w:t xml:space="preserve"> Les frais accessoires liés au fait de s’assurer que le produit, l’appareil ou l'équipement est préparé ou en état pour être testé, y compris les coûts relatifs à la préparation du site, seraient considérés comme des coûts admissibles dans le cadre du projet, qu’ils soient fournis en nature directement par le contributeur ou pris en charge directement par le partenaire en matière de soins aux personnes âgées.</w:t>
      </w:r>
    </w:p>
    <w:p w14:paraId="34AD6773" w14:textId="77777777" w:rsidR="008D246C" w:rsidRPr="008D246C" w:rsidRDefault="0024446C" w:rsidP="008D246C">
      <w:pPr>
        <w:jc w:val="both"/>
        <w:rPr>
          <w:rFonts w:ascii="Arial" w:hAnsi="Arial" w:cs="Arial"/>
          <w:sz w:val="20"/>
        </w:rPr>
      </w:pPr>
      <w:r>
        <w:rPr>
          <w:rFonts w:ascii="Arial" w:hAnsi="Arial"/>
          <w:sz w:val="20"/>
        </w:rPr>
        <w:t xml:space="preserve">Si vous avez besoin de plus amples précisions, veuillez communiquer directement avec le bureau du CABHI à </w:t>
      </w:r>
      <w:hyperlink r:id="rId8" w:history="1">
        <w:r>
          <w:rPr>
            <w:rStyle w:val="Hyperlink"/>
            <w:rFonts w:ascii="Arial" w:hAnsi="Arial"/>
            <w:sz w:val="20"/>
          </w:rPr>
          <w:t>info@cabhi.com</w:t>
        </w:r>
      </w:hyperlink>
      <w:r>
        <w:rPr>
          <w:rFonts w:ascii="Arial" w:hAnsi="Arial"/>
          <w:sz w:val="20"/>
        </w:rPr>
        <w:t xml:space="preserve">. </w:t>
      </w:r>
    </w:p>
    <w:p w14:paraId="7B66875C" w14:textId="77777777" w:rsidR="007A12D7" w:rsidRPr="00215260" w:rsidRDefault="00E83CE7" w:rsidP="00215260">
      <w:pPr>
        <w:pStyle w:val="Heading1"/>
        <w:rPr>
          <w:rFonts w:cs="Arial"/>
          <w:color w:val="E36C0A" w:themeColor="accent6" w:themeShade="BF"/>
        </w:rPr>
      </w:pPr>
      <w:r>
        <w:br w:type="page"/>
      </w:r>
      <w:r>
        <w:lastRenderedPageBreak/>
        <w:t>DONS EN NATURE ADMISSIBLES :</w:t>
      </w:r>
    </w:p>
    <w:tbl>
      <w:tblPr>
        <w:tblStyle w:val="TableGrid"/>
        <w:tblW w:w="0" w:type="auto"/>
        <w:tblInd w:w="108" w:type="dxa"/>
        <w:tblLook w:val="04A0" w:firstRow="1" w:lastRow="0" w:firstColumn="1" w:lastColumn="0" w:noHBand="0" w:noVBand="1"/>
        <w:tblDescription w:val="This Table outlines the Eligible and Non-Eligible In kind Contributions and their valuation method, across the categories of Salaries and benefits, Professional and technical services, and Travel and subsistence costs. "/>
      </w:tblPr>
      <w:tblGrid>
        <w:gridCol w:w="2155"/>
        <w:gridCol w:w="2712"/>
        <w:gridCol w:w="2807"/>
        <w:gridCol w:w="2586"/>
      </w:tblGrid>
      <w:tr w:rsidR="00DB3A78" w:rsidRPr="008D246C" w14:paraId="1A23E01A" w14:textId="77777777" w:rsidTr="00DB3A78">
        <w:trPr>
          <w:trHeight w:val="446"/>
        </w:trPr>
        <w:tc>
          <w:tcPr>
            <w:tcW w:w="2155" w:type="dxa"/>
            <w:shd w:val="solid" w:color="1F497D" w:themeColor="text2" w:fill="000000" w:themeFill="text1"/>
            <w:vAlign w:val="center"/>
          </w:tcPr>
          <w:p w14:paraId="2763BEEF" w14:textId="77777777" w:rsidR="00DB3A78" w:rsidRPr="008D246C" w:rsidRDefault="00DB3A78" w:rsidP="00DB3A78">
            <w:pPr>
              <w:jc w:val="center"/>
              <w:rPr>
                <w:rFonts w:ascii="Arial" w:hAnsi="Arial" w:cs="Arial"/>
                <w:b/>
                <w:color w:val="FFFFFF" w:themeColor="background1"/>
                <w:sz w:val="18"/>
              </w:rPr>
            </w:pPr>
            <w:r>
              <w:rPr>
                <w:rFonts w:ascii="Arial" w:hAnsi="Arial"/>
                <w:b/>
                <w:color w:val="FFFFFF" w:themeColor="background1"/>
                <w:sz w:val="18"/>
              </w:rPr>
              <w:t>Catégorie</w:t>
            </w:r>
          </w:p>
        </w:tc>
        <w:tc>
          <w:tcPr>
            <w:tcW w:w="2712" w:type="dxa"/>
            <w:shd w:val="solid" w:color="1F497D" w:themeColor="text2" w:fill="000000" w:themeFill="text1"/>
            <w:vAlign w:val="center"/>
          </w:tcPr>
          <w:p w14:paraId="38A0A546" w14:textId="77777777" w:rsidR="00DB3A78" w:rsidRPr="008D246C" w:rsidRDefault="00DB3A78" w:rsidP="00DB3A78">
            <w:pPr>
              <w:jc w:val="center"/>
              <w:rPr>
                <w:rFonts w:ascii="Arial" w:hAnsi="Arial" w:cs="Arial"/>
                <w:b/>
                <w:color w:val="FFFFFF" w:themeColor="background1"/>
                <w:sz w:val="18"/>
              </w:rPr>
            </w:pPr>
            <w:r>
              <w:rPr>
                <w:rFonts w:ascii="Arial" w:hAnsi="Arial"/>
                <w:b/>
                <w:color w:val="FFFFFF" w:themeColor="background1"/>
                <w:sz w:val="18"/>
              </w:rPr>
              <w:t>Admissible</w:t>
            </w:r>
          </w:p>
        </w:tc>
        <w:tc>
          <w:tcPr>
            <w:tcW w:w="2807" w:type="dxa"/>
            <w:shd w:val="solid" w:color="1F497D" w:themeColor="text2" w:fill="000000" w:themeFill="text1"/>
            <w:vAlign w:val="center"/>
          </w:tcPr>
          <w:p w14:paraId="05F14F17" w14:textId="77777777" w:rsidR="00DB3A78" w:rsidRPr="008D246C" w:rsidRDefault="00DB3A78" w:rsidP="00DB3A78">
            <w:pPr>
              <w:jc w:val="center"/>
              <w:rPr>
                <w:rFonts w:ascii="Arial" w:hAnsi="Arial" w:cs="Arial"/>
                <w:b/>
                <w:color w:val="FFFFFF" w:themeColor="background1"/>
                <w:sz w:val="18"/>
              </w:rPr>
            </w:pPr>
            <w:r>
              <w:rPr>
                <w:rFonts w:ascii="Arial" w:hAnsi="Arial"/>
                <w:b/>
                <w:color w:val="FFFFFF" w:themeColor="background1"/>
                <w:sz w:val="18"/>
              </w:rPr>
              <w:t>Non admissible</w:t>
            </w:r>
          </w:p>
        </w:tc>
        <w:tc>
          <w:tcPr>
            <w:tcW w:w="2586" w:type="dxa"/>
            <w:shd w:val="solid" w:color="1F497D" w:themeColor="text2" w:fill="000000" w:themeFill="text1"/>
            <w:vAlign w:val="center"/>
          </w:tcPr>
          <w:p w14:paraId="1573E4F9" w14:textId="77777777" w:rsidR="00DB3A78" w:rsidRPr="008D246C" w:rsidRDefault="00DB3A78" w:rsidP="00DB3A78">
            <w:pPr>
              <w:jc w:val="center"/>
              <w:rPr>
                <w:rFonts w:ascii="Arial" w:hAnsi="Arial" w:cs="Arial"/>
                <w:b/>
                <w:color w:val="FFFFFF" w:themeColor="background1"/>
                <w:sz w:val="18"/>
              </w:rPr>
            </w:pPr>
            <w:r>
              <w:rPr>
                <w:rFonts w:ascii="Arial" w:hAnsi="Arial"/>
                <w:b/>
                <w:color w:val="FFFFFF" w:themeColor="background1"/>
                <w:sz w:val="18"/>
              </w:rPr>
              <w:t>Évaluation</w:t>
            </w:r>
          </w:p>
        </w:tc>
      </w:tr>
      <w:tr w:rsidR="00DB3A78" w:rsidRPr="008D246C" w14:paraId="0A7BA0A7" w14:textId="77777777" w:rsidTr="00AF6402">
        <w:trPr>
          <w:trHeight w:val="3086"/>
        </w:trPr>
        <w:tc>
          <w:tcPr>
            <w:tcW w:w="2155" w:type="dxa"/>
          </w:tcPr>
          <w:p w14:paraId="6D590F66" w14:textId="77777777" w:rsidR="00DB3A78" w:rsidRPr="008D246C" w:rsidRDefault="00DB3A78" w:rsidP="00A65D10">
            <w:pPr>
              <w:spacing w:line="276" w:lineRule="auto"/>
              <w:rPr>
                <w:rFonts w:ascii="Arial" w:eastAsia="Times New Roman" w:hAnsi="Arial" w:cs="Arial"/>
                <w:b/>
                <w:bCs/>
                <w:color w:val="000000"/>
                <w:sz w:val="16"/>
                <w:szCs w:val="16"/>
              </w:rPr>
            </w:pPr>
          </w:p>
          <w:p w14:paraId="0CB0A09D" w14:textId="77777777" w:rsidR="00DB3A78" w:rsidRPr="008D246C" w:rsidRDefault="00DB3A78" w:rsidP="00A65D10">
            <w:pPr>
              <w:spacing w:line="276" w:lineRule="auto"/>
              <w:rPr>
                <w:rFonts w:ascii="Arial" w:eastAsia="Times New Roman" w:hAnsi="Arial" w:cs="Arial"/>
                <w:b/>
                <w:bCs/>
                <w:color w:val="000000"/>
                <w:sz w:val="16"/>
                <w:szCs w:val="16"/>
              </w:rPr>
            </w:pPr>
            <w:r>
              <w:rPr>
                <w:rFonts w:ascii="Arial" w:hAnsi="Arial"/>
                <w:b/>
                <w:bCs/>
                <w:color w:val="000000"/>
                <w:sz w:val="16"/>
                <w:szCs w:val="16"/>
              </w:rPr>
              <w:t>Salaires et avantages sociaux</w:t>
            </w:r>
          </w:p>
          <w:p w14:paraId="6F0E5184" w14:textId="77777777" w:rsidR="00DB3A78" w:rsidRPr="008D246C" w:rsidRDefault="00DB3A78" w:rsidP="00A65D10">
            <w:pPr>
              <w:spacing w:line="276" w:lineRule="auto"/>
              <w:rPr>
                <w:rFonts w:ascii="Arial" w:eastAsia="Times New Roman" w:hAnsi="Arial" w:cs="Arial"/>
                <w:b/>
                <w:bCs/>
                <w:color w:val="000000"/>
                <w:sz w:val="16"/>
                <w:szCs w:val="16"/>
              </w:rPr>
            </w:pPr>
          </w:p>
          <w:p w14:paraId="135A34C9" w14:textId="77777777" w:rsidR="00DB3A78" w:rsidRPr="008D246C" w:rsidRDefault="00DB3A78" w:rsidP="00A65D10">
            <w:pPr>
              <w:spacing w:line="276" w:lineRule="auto"/>
              <w:rPr>
                <w:rFonts w:ascii="Arial" w:eastAsia="Times New Roman" w:hAnsi="Arial" w:cs="Arial"/>
                <w:color w:val="000000"/>
                <w:sz w:val="16"/>
                <w:szCs w:val="16"/>
              </w:rPr>
            </w:pPr>
          </w:p>
        </w:tc>
        <w:tc>
          <w:tcPr>
            <w:tcW w:w="2712" w:type="dxa"/>
          </w:tcPr>
          <w:p w14:paraId="06A7B201" w14:textId="77777777" w:rsidR="00DB3A78" w:rsidRPr="008D246C" w:rsidRDefault="00DB3A78" w:rsidP="00A65D10">
            <w:pPr>
              <w:pStyle w:val="ListParagraph"/>
              <w:spacing w:line="276" w:lineRule="auto"/>
              <w:ind w:left="162"/>
              <w:rPr>
                <w:rFonts w:ascii="Arial" w:eastAsia="Times New Roman" w:hAnsi="Arial" w:cs="Arial"/>
                <w:color w:val="000000"/>
                <w:sz w:val="16"/>
                <w:szCs w:val="16"/>
              </w:rPr>
            </w:pPr>
          </w:p>
          <w:p w14:paraId="6A647F91"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Le coût salarial réel comprend les charges sociales pour l’embauche de personnel en vue de contribuer directement au projet.</w:t>
            </w:r>
            <w:r>
              <w:rPr>
                <w:rFonts w:ascii="Arial" w:hAnsi="Arial"/>
                <w:color w:val="000000"/>
                <w:sz w:val="16"/>
                <w:szCs w:val="16"/>
              </w:rPr>
              <w:br/>
            </w:r>
          </w:p>
          <w:p w14:paraId="2C7EC827"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Le personnel peut être constitué d’employés dévoués à temps plein et à temps partiel, incluant les frais payés aux personnes embauchées sur la base d'un contrat de travail qui sont appuyés pour effectuer des tâches directement liées au projet.</w:t>
            </w:r>
          </w:p>
          <w:p w14:paraId="16D137EB" w14:textId="77777777" w:rsidR="00DB3A78" w:rsidRPr="008D246C" w:rsidRDefault="00DB3A78" w:rsidP="00A65D10">
            <w:pPr>
              <w:spacing w:line="276" w:lineRule="auto"/>
              <w:rPr>
                <w:rFonts w:ascii="Arial" w:eastAsia="Times New Roman" w:hAnsi="Arial" w:cs="Arial"/>
                <w:color w:val="000000"/>
                <w:sz w:val="16"/>
                <w:szCs w:val="16"/>
              </w:rPr>
            </w:pPr>
          </w:p>
          <w:p w14:paraId="735AEB3D" w14:textId="77777777" w:rsidR="00DB3A78" w:rsidRPr="008D246C" w:rsidRDefault="00DB3A78" w:rsidP="00A65D10">
            <w:pPr>
              <w:spacing w:line="276" w:lineRule="auto"/>
              <w:rPr>
                <w:rFonts w:ascii="Arial" w:eastAsia="Times New Roman" w:hAnsi="Arial" w:cs="Arial"/>
                <w:color w:val="000000"/>
                <w:sz w:val="16"/>
                <w:szCs w:val="16"/>
              </w:rPr>
            </w:pPr>
          </w:p>
        </w:tc>
        <w:tc>
          <w:tcPr>
            <w:tcW w:w="2807" w:type="dxa"/>
          </w:tcPr>
          <w:p w14:paraId="01FF7E32" w14:textId="77777777" w:rsidR="00DB3A78" w:rsidRPr="008D246C" w:rsidRDefault="00DB3A78" w:rsidP="00A65D10">
            <w:pPr>
              <w:pStyle w:val="ListParagraph"/>
              <w:spacing w:line="276" w:lineRule="auto"/>
              <w:ind w:left="162"/>
              <w:rPr>
                <w:rFonts w:ascii="Arial" w:eastAsia="Times New Roman" w:hAnsi="Arial" w:cs="Arial"/>
                <w:color w:val="000000"/>
                <w:sz w:val="16"/>
                <w:szCs w:val="16"/>
              </w:rPr>
            </w:pPr>
          </w:p>
          <w:p w14:paraId="41990188"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Les paiements au chef de projet, aux codemandeurs ou aux collaborateurs sous forme d’honoraires de conseil ou d'honoraires (en plus de la rémunération normale des personnes).</w:t>
            </w:r>
          </w:p>
          <w:p w14:paraId="25DC8F2F" w14:textId="77777777" w:rsidR="00DB3A78" w:rsidRPr="008D246C" w:rsidRDefault="00DB3A78" w:rsidP="00A65D10">
            <w:pPr>
              <w:pStyle w:val="ListParagraph"/>
              <w:spacing w:line="276" w:lineRule="auto"/>
              <w:ind w:left="162"/>
              <w:rPr>
                <w:rFonts w:ascii="Arial" w:eastAsia="Times New Roman" w:hAnsi="Arial" w:cs="Arial"/>
                <w:color w:val="000000"/>
                <w:sz w:val="16"/>
                <w:szCs w:val="16"/>
              </w:rPr>
            </w:pPr>
          </w:p>
          <w:p w14:paraId="196DC136"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La charge salariale, les coûts externes ou le tarif des consultants.</w:t>
            </w:r>
          </w:p>
          <w:p w14:paraId="229A04DE" w14:textId="77777777" w:rsidR="00DB3A78" w:rsidRPr="008D246C" w:rsidRDefault="00DB3A78" w:rsidP="00A65D10">
            <w:pPr>
              <w:pStyle w:val="ListParagraph"/>
              <w:spacing w:line="276" w:lineRule="auto"/>
              <w:ind w:left="162"/>
              <w:rPr>
                <w:rFonts w:ascii="Arial" w:eastAsia="Times New Roman" w:hAnsi="Arial" w:cs="Arial"/>
                <w:color w:val="000000"/>
                <w:sz w:val="16"/>
                <w:szCs w:val="16"/>
              </w:rPr>
            </w:pPr>
          </w:p>
          <w:p w14:paraId="09B980BC"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Salaire et coûts pour le personnel administratif ou de soutien indirect.</w:t>
            </w:r>
          </w:p>
          <w:p w14:paraId="2C8C55BC" w14:textId="77777777" w:rsidR="00DB3A78" w:rsidRPr="008D246C" w:rsidRDefault="00DB3A78" w:rsidP="00A65D10">
            <w:pPr>
              <w:spacing w:line="276" w:lineRule="auto"/>
              <w:rPr>
                <w:rFonts w:ascii="Arial" w:eastAsia="Times New Roman" w:hAnsi="Arial" w:cs="Arial"/>
                <w:color w:val="000000"/>
                <w:sz w:val="16"/>
                <w:szCs w:val="16"/>
              </w:rPr>
            </w:pPr>
          </w:p>
          <w:p w14:paraId="1EC1D1EF"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Salaire et coûts associés à l’élaboration de proposition.</w:t>
            </w:r>
          </w:p>
          <w:p w14:paraId="0C9F7FFD" w14:textId="77777777" w:rsidR="00DB3A78" w:rsidRPr="008D246C" w:rsidRDefault="00DB3A78" w:rsidP="00A65D10">
            <w:pPr>
              <w:pStyle w:val="ListParagraph"/>
              <w:spacing w:line="276" w:lineRule="auto"/>
              <w:rPr>
                <w:rFonts w:ascii="Arial" w:eastAsia="Times New Roman" w:hAnsi="Arial" w:cs="Arial"/>
                <w:color w:val="000000"/>
                <w:sz w:val="16"/>
                <w:szCs w:val="16"/>
              </w:rPr>
            </w:pPr>
          </w:p>
          <w:p w14:paraId="5DFDCF4C"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Salaire et coûts des activités de gestion qui ne sont pas directement liées au projet.</w:t>
            </w:r>
          </w:p>
          <w:p w14:paraId="6D066DE6" w14:textId="77777777" w:rsidR="00DB3A78" w:rsidRPr="008D246C" w:rsidRDefault="00DB3A78" w:rsidP="00A65D10">
            <w:pPr>
              <w:spacing w:line="276" w:lineRule="auto"/>
              <w:rPr>
                <w:rFonts w:ascii="Arial" w:eastAsia="Times New Roman" w:hAnsi="Arial" w:cs="Arial"/>
                <w:color w:val="000000"/>
                <w:sz w:val="16"/>
                <w:szCs w:val="16"/>
              </w:rPr>
            </w:pPr>
          </w:p>
        </w:tc>
        <w:tc>
          <w:tcPr>
            <w:tcW w:w="2586" w:type="dxa"/>
          </w:tcPr>
          <w:p w14:paraId="2AB301D9" w14:textId="77777777" w:rsidR="00DB3A78" w:rsidRPr="008D246C" w:rsidRDefault="00DB3A78" w:rsidP="00A65D10">
            <w:pPr>
              <w:pStyle w:val="ListParagraph"/>
              <w:spacing w:line="276" w:lineRule="auto"/>
              <w:ind w:left="162"/>
              <w:rPr>
                <w:rFonts w:ascii="Arial" w:eastAsia="Times New Roman" w:hAnsi="Arial" w:cs="Arial"/>
                <w:color w:val="000000"/>
                <w:sz w:val="16"/>
                <w:szCs w:val="16"/>
              </w:rPr>
            </w:pPr>
          </w:p>
          <w:p w14:paraId="305AADE3"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Les dépenses relatives aux salaires, au traitement et aux avantages sociaux ne peuvent être réclamées qu’en proportion du temps passé à travailler directement sur le projet. L’auteur de proposition doit mettre à jour les feuilles de temps ou les dossiers appropriés pour tous les employés travaillant directement sur le projet.</w:t>
            </w:r>
          </w:p>
          <w:p w14:paraId="21CD9EF4" w14:textId="77777777" w:rsidR="00DB3A78" w:rsidRPr="008D246C" w:rsidRDefault="00DB3A78" w:rsidP="00A65D10">
            <w:pPr>
              <w:pStyle w:val="ListParagraph"/>
              <w:spacing w:line="276" w:lineRule="auto"/>
              <w:ind w:left="162"/>
              <w:rPr>
                <w:rFonts w:ascii="Arial" w:eastAsia="Times New Roman" w:hAnsi="Arial" w:cs="Arial"/>
                <w:color w:val="000000"/>
                <w:sz w:val="16"/>
                <w:szCs w:val="16"/>
              </w:rPr>
            </w:pPr>
          </w:p>
          <w:p w14:paraId="6857C709" w14:textId="77777777" w:rsidR="00DB3A78" w:rsidRPr="008D246C" w:rsidRDefault="00DB3A78" w:rsidP="00A65D10">
            <w:pPr>
              <w:spacing w:line="276" w:lineRule="auto"/>
              <w:rPr>
                <w:rFonts w:ascii="Arial" w:hAnsi="Arial" w:cs="Arial"/>
                <w:b/>
                <w:sz w:val="16"/>
              </w:rPr>
            </w:pPr>
            <w:r>
              <w:rPr>
                <w:rFonts w:ascii="Arial" w:hAnsi="Arial"/>
                <w:b/>
                <w:color w:val="000000"/>
                <w:sz w:val="16"/>
                <w:szCs w:val="16"/>
              </w:rPr>
              <w:t>Les salaires et les avantages sociaux seront évalués au prix coûtant.</w:t>
            </w:r>
          </w:p>
        </w:tc>
      </w:tr>
      <w:tr w:rsidR="00DB3A78" w:rsidRPr="008D246C" w14:paraId="723C87F2" w14:textId="77777777" w:rsidTr="00AF6402">
        <w:tc>
          <w:tcPr>
            <w:tcW w:w="2155" w:type="dxa"/>
            <w:tcBorders>
              <w:top w:val="single" w:sz="4" w:space="0" w:color="000000" w:themeColor="text1"/>
            </w:tcBorders>
          </w:tcPr>
          <w:p w14:paraId="43CEEE39" w14:textId="77777777" w:rsidR="00DB3A78" w:rsidRPr="008D246C" w:rsidRDefault="00DB3A78" w:rsidP="00A65D10">
            <w:pPr>
              <w:spacing w:line="276" w:lineRule="auto"/>
              <w:rPr>
                <w:rFonts w:ascii="Arial" w:eastAsia="Times New Roman" w:hAnsi="Arial" w:cs="Arial"/>
                <w:b/>
                <w:bCs/>
                <w:color w:val="000000"/>
                <w:sz w:val="16"/>
                <w:szCs w:val="16"/>
              </w:rPr>
            </w:pPr>
            <w:r>
              <w:br w:type="page"/>
            </w:r>
          </w:p>
          <w:p w14:paraId="7495EC73"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b/>
                <w:bCs/>
                <w:color w:val="000000"/>
                <w:sz w:val="16"/>
                <w:szCs w:val="16"/>
              </w:rPr>
              <w:t>Services professionnels et techniques</w:t>
            </w:r>
          </w:p>
        </w:tc>
        <w:tc>
          <w:tcPr>
            <w:tcW w:w="2712" w:type="dxa"/>
            <w:tcBorders>
              <w:top w:val="single" w:sz="4" w:space="0" w:color="000000" w:themeColor="text1"/>
            </w:tcBorders>
          </w:tcPr>
          <w:p w14:paraId="369CFFA0" w14:textId="77777777" w:rsidR="00DB3A78" w:rsidRPr="008D246C" w:rsidRDefault="00DB3A78" w:rsidP="00A65D10">
            <w:pPr>
              <w:pStyle w:val="ListParagraph"/>
              <w:spacing w:line="276" w:lineRule="auto"/>
              <w:ind w:left="162"/>
              <w:rPr>
                <w:rFonts w:ascii="Arial" w:eastAsia="Times New Roman" w:hAnsi="Arial" w:cs="Arial"/>
                <w:color w:val="000000"/>
                <w:sz w:val="16"/>
                <w:szCs w:val="16"/>
              </w:rPr>
            </w:pPr>
          </w:p>
          <w:p w14:paraId="40075CBD"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Les honoraires de conseil ou les compétences techniques directement liées au projet financé (p. ex., professionnels, avocats, comptables, etc.)</w:t>
            </w:r>
          </w:p>
          <w:p w14:paraId="757DA0AA" w14:textId="77777777" w:rsidR="00DB3A78" w:rsidRPr="008D246C" w:rsidRDefault="00DB3A78" w:rsidP="00A65D10">
            <w:pPr>
              <w:spacing w:line="276" w:lineRule="auto"/>
              <w:rPr>
                <w:rFonts w:ascii="Arial" w:eastAsia="Times New Roman" w:hAnsi="Arial" w:cs="Arial"/>
                <w:color w:val="000000"/>
                <w:sz w:val="16"/>
                <w:szCs w:val="16"/>
              </w:rPr>
            </w:pPr>
          </w:p>
        </w:tc>
        <w:tc>
          <w:tcPr>
            <w:tcW w:w="2807" w:type="dxa"/>
            <w:tcBorders>
              <w:top w:val="single" w:sz="4" w:space="0" w:color="000000" w:themeColor="text1"/>
            </w:tcBorders>
          </w:tcPr>
          <w:p w14:paraId="6F898A13" w14:textId="77777777" w:rsidR="00DB3A78" w:rsidRPr="008D246C" w:rsidRDefault="00DB3A78" w:rsidP="00A65D10">
            <w:pPr>
              <w:pStyle w:val="ListParagraph"/>
              <w:spacing w:line="276" w:lineRule="auto"/>
              <w:ind w:left="162"/>
              <w:rPr>
                <w:rFonts w:ascii="Arial" w:eastAsia="Times New Roman" w:hAnsi="Arial" w:cs="Arial"/>
                <w:color w:val="000000"/>
                <w:sz w:val="16"/>
                <w:szCs w:val="16"/>
              </w:rPr>
            </w:pPr>
          </w:p>
          <w:p w14:paraId="0A82DF89"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Frais qui ne sont pas directement associés à l’atteinte des résultats prévus et des jalons définis dans le projet.</w:t>
            </w:r>
          </w:p>
          <w:p w14:paraId="59C63C25" w14:textId="77777777" w:rsidR="00DB3A78" w:rsidRPr="008D246C" w:rsidRDefault="00DB3A78" w:rsidP="00A65D10">
            <w:pPr>
              <w:spacing w:line="276" w:lineRule="auto"/>
              <w:rPr>
                <w:rFonts w:ascii="Arial" w:eastAsia="Times New Roman" w:hAnsi="Arial" w:cs="Arial"/>
                <w:color w:val="000000"/>
                <w:sz w:val="16"/>
                <w:szCs w:val="16"/>
              </w:rPr>
            </w:pPr>
          </w:p>
          <w:p w14:paraId="24FE4C2F"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Frais associés à l’élaboration de proposition et à l’examen des contrats.</w:t>
            </w:r>
          </w:p>
          <w:p w14:paraId="4ABD5A66" w14:textId="77777777" w:rsidR="00DB3A78" w:rsidRPr="008D246C" w:rsidRDefault="00DB3A78" w:rsidP="00A65D10">
            <w:pPr>
              <w:spacing w:line="276" w:lineRule="auto"/>
              <w:rPr>
                <w:rFonts w:ascii="Arial" w:eastAsia="Times New Roman" w:hAnsi="Arial" w:cs="Arial"/>
                <w:color w:val="000000"/>
                <w:sz w:val="16"/>
                <w:szCs w:val="16"/>
              </w:rPr>
            </w:pPr>
          </w:p>
        </w:tc>
        <w:tc>
          <w:tcPr>
            <w:tcW w:w="2586" w:type="dxa"/>
            <w:tcBorders>
              <w:top w:val="single" w:sz="4" w:space="0" w:color="000000" w:themeColor="text1"/>
            </w:tcBorders>
          </w:tcPr>
          <w:p w14:paraId="5D41E527" w14:textId="77777777" w:rsidR="00DB3A78" w:rsidRPr="008D246C" w:rsidRDefault="00DB3A78" w:rsidP="00A65D10">
            <w:pPr>
              <w:spacing w:line="276" w:lineRule="auto"/>
              <w:rPr>
                <w:rFonts w:ascii="Arial" w:hAnsi="Arial" w:cs="Arial"/>
                <w:b/>
                <w:sz w:val="16"/>
              </w:rPr>
            </w:pPr>
          </w:p>
          <w:p w14:paraId="4400EACD" w14:textId="77777777" w:rsidR="00DB3A78" w:rsidRPr="008D246C" w:rsidRDefault="00DB3A78" w:rsidP="00A65D10">
            <w:pPr>
              <w:spacing w:line="276" w:lineRule="auto"/>
              <w:rPr>
                <w:rFonts w:ascii="Arial" w:hAnsi="Arial" w:cs="Arial"/>
                <w:b/>
                <w:sz w:val="16"/>
              </w:rPr>
            </w:pPr>
            <w:r>
              <w:rPr>
                <w:rFonts w:ascii="Arial" w:hAnsi="Arial"/>
                <w:b/>
                <w:color w:val="000000"/>
                <w:sz w:val="16"/>
                <w:szCs w:val="16"/>
              </w:rPr>
              <w:t>Les services professionnels et techniques seront évalués au prix coûtant.</w:t>
            </w:r>
          </w:p>
        </w:tc>
      </w:tr>
      <w:tr w:rsidR="00DB3A78" w:rsidRPr="008D246C" w14:paraId="56248017" w14:textId="77777777" w:rsidTr="00AF6402">
        <w:tc>
          <w:tcPr>
            <w:tcW w:w="2155" w:type="dxa"/>
            <w:tcBorders>
              <w:top w:val="single" w:sz="4" w:space="0" w:color="000000" w:themeColor="text1"/>
            </w:tcBorders>
          </w:tcPr>
          <w:p w14:paraId="17384813" w14:textId="77777777" w:rsidR="00DB3A78" w:rsidRPr="008D246C" w:rsidRDefault="00DB3A78" w:rsidP="00A65D10">
            <w:pPr>
              <w:spacing w:line="276" w:lineRule="auto"/>
              <w:rPr>
                <w:rFonts w:ascii="Arial" w:eastAsia="Times New Roman" w:hAnsi="Arial" w:cs="Arial"/>
                <w:b/>
                <w:bCs/>
                <w:color w:val="000000"/>
                <w:sz w:val="16"/>
                <w:szCs w:val="16"/>
              </w:rPr>
            </w:pPr>
          </w:p>
          <w:p w14:paraId="6531CFCD"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b/>
                <w:bCs/>
                <w:color w:val="000000"/>
                <w:sz w:val="16"/>
                <w:szCs w:val="16"/>
              </w:rPr>
              <w:t>Frais de déplacement et de subsistance</w:t>
            </w:r>
          </w:p>
        </w:tc>
        <w:tc>
          <w:tcPr>
            <w:tcW w:w="2712" w:type="dxa"/>
            <w:tcBorders>
              <w:top w:val="single" w:sz="4" w:space="0" w:color="000000" w:themeColor="text1"/>
            </w:tcBorders>
          </w:tcPr>
          <w:p w14:paraId="42FDCF94" w14:textId="77777777" w:rsidR="00DB3A78" w:rsidRPr="008D246C" w:rsidRDefault="00DB3A78" w:rsidP="00A65D10">
            <w:pPr>
              <w:spacing w:line="276" w:lineRule="auto"/>
              <w:rPr>
                <w:rFonts w:ascii="Arial" w:eastAsia="Times New Roman" w:hAnsi="Arial" w:cs="Arial"/>
                <w:color w:val="000000"/>
                <w:sz w:val="16"/>
                <w:szCs w:val="16"/>
              </w:rPr>
            </w:pPr>
          </w:p>
          <w:p w14:paraId="1E112E05"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Débours des frais de déplacement et de subsistance relatifs au projet pour du travail effectué au site-test des partenaires en matière de soins aux personnes âgées directement associé à l’atteinte des résultats prévus et des jalons définis dans le projet.</w:t>
            </w:r>
          </w:p>
          <w:p w14:paraId="141F33B6" w14:textId="77777777" w:rsidR="00DB3A78" w:rsidRPr="008D246C" w:rsidRDefault="00DB3A78" w:rsidP="00A65D10">
            <w:pPr>
              <w:spacing w:line="276" w:lineRule="auto"/>
              <w:rPr>
                <w:rFonts w:ascii="Arial" w:eastAsia="Times New Roman" w:hAnsi="Arial" w:cs="Arial"/>
                <w:color w:val="000000"/>
                <w:sz w:val="16"/>
                <w:szCs w:val="16"/>
              </w:rPr>
            </w:pPr>
          </w:p>
          <w:p w14:paraId="0C0F81F2"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Les coûts pour la conférence et les frais d’inscription relatifs au projet financé, seulement si la conférence est axée sur des enjeux ou des sujets liés au projet.</w:t>
            </w:r>
          </w:p>
          <w:p w14:paraId="49F8D690" w14:textId="77777777" w:rsidR="00DB3A78" w:rsidRPr="008D246C" w:rsidRDefault="00DB3A78" w:rsidP="00A65D10">
            <w:pPr>
              <w:spacing w:line="276" w:lineRule="auto"/>
              <w:rPr>
                <w:rFonts w:ascii="Arial" w:eastAsia="Times New Roman" w:hAnsi="Arial" w:cs="Arial"/>
                <w:color w:val="000000"/>
                <w:sz w:val="16"/>
                <w:szCs w:val="16"/>
              </w:rPr>
            </w:pPr>
          </w:p>
          <w:p w14:paraId="6A4C2E3F" w14:textId="77777777" w:rsidR="00DB3A78" w:rsidRPr="008D246C" w:rsidRDefault="00DB3A78" w:rsidP="00A65D10">
            <w:pPr>
              <w:spacing w:line="276" w:lineRule="auto"/>
              <w:rPr>
                <w:rFonts w:ascii="Arial" w:eastAsia="Times New Roman" w:hAnsi="Arial" w:cs="Arial"/>
                <w:b/>
                <w:color w:val="000000"/>
                <w:sz w:val="16"/>
                <w:szCs w:val="16"/>
                <w:u w:val="single"/>
              </w:rPr>
            </w:pPr>
            <w:r>
              <w:rPr>
                <w:rFonts w:ascii="Arial" w:hAnsi="Arial"/>
                <w:b/>
                <w:color w:val="000000"/>
                <w:sz w:val="16"/>
                <w:szCs w:val="16"/>
                <w:u w:val="single"/>
              </w:rPr>
              <w:t>Tous les frais de déplacement et de subsistance sont sujets à un examen et à une approbation par le CABHI avant d’être engagés.</w:t>
            </w:r>
          </w:p>
          <w:p w14:paraId="07972239" w14:textId="77777777" w:rsidR="00DB3A78" w:rsidRPr="008D246C" w:rsidRDefault="00DB3A78" w:rsidP="00A65D10">
            <w:pPr>
              <w:spacing w:line="276" w:lineRule="auto"/>
              <w:rPr>
                <w:rFonts w:ascii="Arial" w:eastAsia="Times New Roman" w:hAnsi="Arial" w:cs="Arial"/>
                <w:color w:val="000000"/>
                <w:sz w:val="16"/>
                <w:szCs w:val="16"/>
              </w:rPr>
            </w:pPr>
          </w:p>
        </w:tc>
        <w:tc>
          <w:tcPr>
            <w:tcW w:w="2807" w:type="dxa"/>
            <w:tcBorders>
              <w:top w:val="single" w:sz="4" w:space="0" w:color="000000" w:themeColor="text1"/>
            </w:tcBorders>
          </w:tcPr>
          <w:p w14:paraId="4C08976F" w14:textId="77777777" w:rsidR="00DB3A78" w:rsidRPr="008D246C" w:rsidRDefault="00DB3A78" w:rsidP="00A65D10">
            <w:pPr>
              <w:spacing w:line="276" w:lineRule="auto"/>
              <w:rPr>
                <w:rFonts w:ascii="Arial" w:eastAsia="Times New Roman" w:hAnsi="Arial" w:cs="Arial"/>
                <w:color w:val="000000"/>
                <w:sz w:val="16"/>
                <w:szCs w:val="16"/>
              </w:rPr>
            </w:pPr>
          </w:p>
          <w:p w14:paraId="00A6560B"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Coûts pour couvrir les frais liés à la conférence, le déplacement, l’hôtel et la nourriture afin de participer aux événements ou aux réunions qui ne sont pas liés au projet.</w:t>
            </w:r>
          </w:p>
          <w:p w14:paraId="083F99E0" w14:textId="77777777" w:rsidR="00DB3A78" w:rsidRPr="008D246C" w:rsidRDefault="00DB3A78" w:rsidP="00A65D10">
            <w:pPr>
              <w:spacing w:line="276" w:lineRule="auto"/>
              <w:rPr>
                <w:rFonts w:ascii="Arial" w:eastAsia="Times New Roman" w:hAnsi="Arial" w:cs="Arial"/>
                <w:color w:val="000000"/>
                <w:sz w:val="16"/>
                <w:szCs w:val="16"/>
              </w:rPr>
            </w:pPr>
          </w:p>
          <w:p w14:paraId="0AFECA7F"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Frais de représentation, cadeaux, prix et boissons alcoolisées.</w:t>
            </w:r>
          </w:p>
        </w:tc>
        <w:tc>
          <w:tcPr>
            <w:tcW w:w="2586" w:type="dxa"/>
            <w:tcBorders>
              <w:top w:val="single" w:sz="4" w:space="0" w:color="000000" w:themeColor="text1"/>
            </w:tcBorders>
          </w:tcPr>
          <w:p w14:paraId="6BAB17E1" w14:textId="77777777" w:rsidR="00DB3A78" w:rsidRPr="008D246C" w:rsidRDefault="00DB3A78" w:rsidP="00A65D10">
            <w:pPr>
              <w:spacing w:line="276" w:lineRule="auto"/>
              <w:rPr>
                <w:rFonts w:ascii="Arial" w:eastAsia="Times New Roman" w:hAnsi="Arial" w:cs="Arial"/>
                <w:b/>
                <w:bCs/>
                <w:color w:val="000000"/>
                <w:sz w:val="16"/>
                <w:szCs w:val="16"/>
              </w:rPr>
            </w:pPr>
          </w:p>
          <w:p w14:paraId="1DBFFB9A" w14:textId="77777777" w:rsidR="00DB3A78" w:rsidRPr="008D246C" w:rsidRDefault="00DB3A78" w:rsidP="00A65D10">
            <w:pPr>
              <w:spacing w:line="276" w:lineRule="auto"/>
              <w:rPr>
                <w:rFonts w:ascii="Arial" w:eastAsia="Times New Roman" w:hAnsi="Arial" w:cs="Arial"/>
                <w:bCs/>
                <w:color w:val="000000"/>
                <w:sz w:val="16"/>
                <w:szCs w:val="16"/>
              </w:rPr>
            </w:pPr>
            <w:r>
              <w:rPr>
                <w:rFonts w:ascii="Arial" w:hAnsi="Arial"/>
                <w:bCs/>
                <w:color w:val="000000"/>
                <w:sz w:val="16"/>
                <w:szCs w:val="16"/>
              </w:rPr>
              <w:t>Le déplacement doit toujours s’effectuer selon le mode de transport le plus pratique et économique offert.</w:t>
            </w:r>
          </w:p>
          <w:p w14:paraId="6924118B" w14:textId="77777777" w:rsidR="00DB3A78" w:rsidRPr="008D246C" w:rsidRDefault="00DB3A78" w:rsidP="00A65D10">
            <w:pPr>
              <w:spacing w:line="276" w:lineRule="auto"/>
              <w:rPr>
                <w:rFonts w:ascii="Arial" w:eastAsia="Times New Roman" w:hAnsi="Arial" w:cs="Arial"/>
                <w:b/>
                <w:bCs/>
                <w:color w:val="000000"/>
                <w:sz w:val="16"/>
                <w:szCs w:val="16"/>
              </w:rPr>
            </w:pPr>
          </w:p>
          <w:p w14:paraId="27C1F018"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b/>
                <w:color w:val="000000"/>
                <w:sz w:val="16"/>
                <w:szCs w:val="16"/>
              </w:rPr>
              <w:t>Les frais de déplacement et de subsistance seront évalués au prix coûtant.</w:t>
            </w:r>
          </w:p>
        </w:tc>
      </w:tr>
    </w:tbl>
    <w:p w14:paraId="5152D51C" w14:textId="77777777" w:rsidR="00DB3A78" w:rsidRDefault="00DB3A78" w:rsidP="00A65D10"/>
    <w:tbl>
      <w:tblPr>
        <w:tblStyle w:val="TableGrid"/>
        <w:tblW w:w="0" w:type="auto"/>
        <w:tblInd w:w="108" w:type="dxa"/>
        <w:tblLook w:val="04A0" w:firstRow="1" w:lastRow="0" w:firstColumn="1" w:lastColumn="0" w:noHBand="0" w:noVBand="1"/>
        <w:tblDescription w:val="This Table outlines the Eligible and Non-Eligible In kind Contributions and their valuation method, across the categories of Equipment, materials and supplies, as well as, Software, new technologies and databases. "/>
      </w:tblPr>
      <w:tblGrid>
        <w:gridCol w:w="2155"/>
        <w:gridCol w:w="2712"/>
        <w:gridCol w:w="2807"/>
        <w:gridCol w:w="2586"/>
      </w:tblGrid>
      <w:tr w:rsidR="00DB3A78" w:rsidRPr="008D246C" w14:paraId="187CD12A" w14:textId="77777777" w:rsidTr="00DB3A78">
        <w:trPr>
          <w:trHeight w:val="446"/>
        </w:trPr>
        <w:tc>
          <w:tcPr>
            <w:tcW w:w="2155" w:type="dxa"/>
            <w:shd w:val="solid" w:color="1F497D" w:themeColor="text2" w:fill="auto"/>
            <w:vAlign w:val="center"/>
          </w:tcPr>
          <w:p w14:paraId="71C67C72" w14:textId="77777777" w:rsidR="00DB3A78" w:rsidRPr="008D246C" w:rsidRDefault="00DB3A78" w:rsidP="007838A2">
            <w:pPr>
              <w:jc w:val="center"/>
              <w:rPr>
                <w:rFonts w:ascii="Arial" w:hAnsi="Arial" w:cs="Arial"/>
                <w:b/>
                <w:color w:val="FFFFFF" w:themeColor="background1"/>
                <w:sz w:val="18"/>
              </w:rPr>
            </w:pPr>
            <w:r>
              <w:rPr>
                <w:rFonts w:ascii="Arial" w:hAnsi="Arial"/>
                <w:b/>
                <w:color w:val="FFFFFF" w:themeColor="background1"/>
                <w:sz w:val="18"/>
              </w:rPr>
              <w:lastRenderedPageBreak/>
              <w:t>Catégorie</w:t>
            </w:r>
          </w:p>
        </w:tc>
        <w:tc>
          <w:tcPr>
            <w:tcW w:w="2712" w:type="dxa"/>
            <w:shd w:val="solid" w:color="1F497D" w:themeColor="text2" w:fill="auto"/>
            <w:vAlign w:val="center"/>
          </w:tcPr>
          <w:p w14:paraId="66A1031E" w14:textId="77777777" w:rsidR="00DB3A78" w:rsidRPr="008D246C" w:rsidRDefault="00DB3A78" w:rsidP="007838A2">
            <w:pPr>
              <w:jc w:val="center"/>
              <w:rPr>
                <w:rFonts w:ascii="Arial" w:hAnsi="Arial" w:cs="Arial"/>
                <w:b/>
                <w:color w:val="FFFFFF" w:themeColor="background1"/>
                <w:sz w:val="18"/>
              </w:rPr>
            </w:pPr>
            <w:r>
              <w:rPr>
                <w:rFonts w:ascii="Arial" w:hAnsi="Arial"/>
                <w:b/>
                <w:color w:val="FFFFFF" w:themeColor="background1"/>
                <w:sz w:val="18"/>
              </w:rPr>
              <w:t>Admissible</w:t>
            </w:r>
          </w:p>
        </w:tc>
        <w:tc>
          <w:tcPr>
            <w:tcW w:w="2807" w:type="dxa"/>
            <w:shd w:val="solid" w:color="1F497D" w:themeColor="text2" w:fill="auto"/>
            <w:vAlign w:val="center"/>
          </w:tcPr>
          <w:p w14:paraId="4A0190B5" w14:textId="77777777" w:rsidR="00DB3A78" w:rsidRPr="008D246C" w:rsidRDefault="00DB3A78" w:rsidP="007838A2">
            <w:pPr>
              <w:jc w:val="center"/>
              <w:rPr>
                <w:rFonts w:ascii="Arial" w:hAnsi="Arial" w:cs="Arial"/>
                <w:b/>
                <w:color w:val="FFFFFF" w:themeColor="background1"/>
                <w:sz w:val="18"/>
              </w:rPr>
            </w:pPr>
            <w:r>
              <w:rPr>
                <w:rFonts w:ascii="Arial" w:hAnsi="Arial"/>
                <w:b/>
                <w:color w:val="FFFFFF" w:themeColor="background1"/>
                <w:sz w:val="18"/>
              </w:rPr>
              <w:t>Non admissible</w:t>
            </w:r>
          </w:p>
        </w:tc>
        <w:tc>
          <w:tcPr>
            <w:tcW w:w="2586" w:type="dxa"/>
            <w:shd w:val="solid" w:color="1F497D" w:themeColor="text2" w:fill="auto"/>
            <w:vAlign w:val="center"/>
          </w:tcPr>
          <w:p w14:paraId="39193E6E" w14:textId="77777777" w:rsidR="00DB3A78" w:rsidRPr="008D246C" w:rsidRDefault="00DB3A78" w:rsidP="007838A2">
            <w:pPr>
              <w:jc w:val="center"/>
              <w:rPr>
                <w:rFonts w:ascii="Arial" w:hAnsi="Arial" w:cs="Arial"/>
                <w:b/>
                <w:color w:val="FFFFFF" w:themeColor="background1"/>
                <w:sz w:val="18"/>
              </w:rPr>
            </w:pPr>
            <w:r>
              <w:rPr>
                <w:rFonts w:ascii="Arial" w:hAnsi="Arial"/>
                <w:b/>
                <w:color w:val="FFFFFF" w:themeColor="background1"/>
                <w:sz w:val="18"/>
              </w:rPr>
              <w:t>Évaluation</w:t>
            </w:r>
          </w:p>
        </w:tc>
      </w:tr>
      <w:tr w:rsidR="00DB3A78" w:rsidRPr="008D246C" w14:paraId="67A7D1E6" w14:textId="77777777" w:rsidTr="00AF6402">
        <w:tc>
          <w:tcPr>
            <w:tcW w:w="2155" w:type="dxa"/>
          </w:tcPr>
          <w:p w14:paraId="0770EB83" w14:textId="77777777" w:rsidR="00DB3A78" w:rsidRPr="008D246C" w:rsidRDefault="00DB3A78" w:rsidP="00A65D10">
            <w:pPr>
              <w:spacing w:line="276" w:lineRule="auto"/>
              <w:rPr>
                <w:rFonts w:ascii="Arial" w:eastAsia="Times New Roman" w:hAnsi="Arial" w:cs="Arial"/>
                <w:b/>
                <w:bCs/>
                <w:color w:val="000000"/>
                <w:sz w:val="16"/>
                <w:szCs w:val="16"/>
              </w:rPr>
            </w:pPr>
          </w:p>
          <w:p w14:paraId="1207BD5C"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b/>
                <w:bCs/>
                <w:color w:val="000000"/>
                <w:sz w:val="16"/>
                <w:szCs w:val="16"/>
              </w:rPr>
              <w:t>Équipement, documentation et fournitures</w:t>
            </w:r>
            <w:r>
              <w:rPr>
                <w:rFonts w:ascii="Arial" w:hAnsi="Arial"/>
                <w:color w:val="000000"/>
                <w:sz w:val="16"/>
                <w:szCs w:val="16"/>
              </w:rPr>
              <w:br/>
              <w:t>(p. ex., ordinateur et communications électroniques)</w:t>
            </w:r>
          </w:p>
        </w:tc>
        <w:tc>
          <w:tcPr>
            <w:tcW w:w="2712" w:type="dxa"/>
          </w:tcPr>
          <w:p w14:paraId="4DF831D0" w14:textId="77777777" w:rsidR="00DB3A78" w:rsidRPr="008D246C" w:rsidRDefault="00DB3A78" w:rsidP="00A65D10">
            <w:pPr>
              <w:spacing w:line="276" w:lineRule="auto"/>
              <w:rPr>
                <w:rFonts w:ascii="Arial" w:eastAsia="Times New Roman" w:hAnsi="Arial" w:cs="Arial"/>
                <w:color w:val="000000"/>
                <w:sz w:val="16"/>
                <w:szCs w:val="16"/>
              </w:rPr>
            </w:pPr>
          </w:p>
          <w:p w14:paraId="459BC5AA" w14:textId="77777777" w:rsidR="00DB3A78" w:rsidRPr="008D246C" w:rsidRDefault="00DB3A78" w:rsidP="00A65D10">
            <w:pPr>
              <w:spacing w:line="276" w:lineRule="auto"/>
              <w:ind w:right="75"/>
              <w:rPr>
                <w:rFonts w:ascii="Arial" w:eastAsia="Times New Roman" w:hAnsi="Arial" w:cs="Arial"/>
                <w:color w:val="000000"/>
                <w:sz w:val="16"/>
                <w:szCs w:val="16"/>
              </w:rPr>
            </w:pPr>
            <w:r>
              <w:rPr>
                <w:rFonts w:ascii="Arial" w:hAnsi="Arial"/>
                <w:color w:val="000000"/>
                <w:sz w:val="16"/>
                <w:szCs w:val="16"/>
              </w:rPr>
              <w:t>Le coût de fourniture de l'équipement, de la documentation et des fournitures nécessaires pour appuyer le projet, si ces éléments ne sont pas déjà fournis par les partenaires en matière de soins aux personnes âgées.</w:t>
            </w:r>
          </w:p>
        </w:tc>
        <w:tc>
          <w:tcPr>
            <w:tcW w:w="2807" w:type="dxa"/>
          </w:tcPr>
          <w:p w14:paraId="03FAE114" w14:textId="77777777" w:rsidR="00DB3A78" w:rsidRPr="008D246C" w:rsidRDefault="00DB3A78" w:rsidP="00A65D10">
            <w:pPr>
              <w:spacing w:line="276" w:lineRule="auto"/>
              <w:rPr>
                <w:rFonts w:ascii="Arial" w:eastAsia="Times New Roman" w:hAnsi="Arial" w:cs="Arial"/>
                <w:color w:val="000000"/>
                <w:sz w:val="16"/>
                <w:szCs w:val="16"/>
              </w:rPr>
            </w:pPr>
          </w:p>
          <w:p w14:paraId="4A997955"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 xml:space="preserve">Les frais ou les équivalents en location qui dépassent les valeurs acceptées si l'équipement avait été donné ou vendu. </w:t>
            </w:r>
          </w:p>
          <w:p w14:paraId="7CD08D23" w14:textId="77777777" w:rsidR="00DB3A78" w:rsidRPr="008D246C" w:rsidRDefault="00DB3A78" w:rsidP="00A65D10">
            <w:pPr>
              <w:spacing w:line="276" w:lineRule="auto"/>
              <w:rPr>
                <w:rFonts w:ascii="Arial" w:eastAsia="Times New Roman" w:hAnsi="Arial" w:cs="Arial"/>
                <w:color w:val="000000"/>
                <w:sz w:val="16"/>
                <w:szCs w:val="16"/>
              </w:rPr>
            </w:pPr>
          </w:p>
          <w:p w14:paraId="67C3810E"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Coûts de développement engagés avant le début du projet.</w:t>
            </w:r>
          </w:p>
          <w:p w14:paraId="523AF457" w14:textId="77777777" w:rsidR="00DB3A78" w:rsidRPr="008D246C" w:rsidRDefault="00DB3A78" w:rsidP="00A65D10">
            <w:pPr>
              <w:spacing w:line="276" w:lineRule="auto"/>
              <w:rPr>
                <w:rFonts w:ascii="Arial" w:eastAsia="Times New Roman" w:hAnsi="Arial" w:cs="Arial"/>
                <w:color w:val="000000"/>
                <w:sz w:val="16"/>
                <w:szCs w:val="16"/>
              </w:rPr>
            </w:pPr>
          </w:p>
          <w:p w14:paraId="3ABC89EB"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Frais d'amortissement associés à l'équipement donné au projet.</w:t>
            </w:r>
          </w:p>
          <w:p w14:paraId="6E03CDD1" w14:textId="77777777" w:rsidR="00DB3A78" w:rsidRPr="008D246C" w:rsidRDefault="00DB3A78" w:rsidP="00A65D10">
            <w:pPr>
              <w:spacing w:line="276" w:lineRule="auto"/>
              <w:rPr>
                <w:rFonts w:ascii="Arial" w:eastAsia="Times New Roman" w:hAnsi="Arial" w:cs="Arial"/>
                <w:color w:val="000000"/>
                <w:sz w:val="16"/>
                <w:szCs w:val="16"/>
              </w:rPr>
            </w:pPr>
          </w:p>
          <w:p w14:paraId="22FBB5C7" w14:textId="77777777" w:rsidR="00DB3A78" w:rsidRPr="008D246C" w:rsidRDefault="00DB3A78" w:rsidP="00A65D10">
            <w:pPr>
              <w:spacing w:line="276" w:lineRule="auto"/>
              <w:rPr>
                <w:rFonts w:ascii="Arial" w:eastAsia="Times New Roman" w:hAnsi="Arial" w:cs="Arial"/>
                <w:b/>
                <w:color w:val="000000"/>
                <w:sz w:val="16"/>
                <w:szCs w:val="16"/>
                <w:u w:val="single"/>
              </w:rPr>
            </w:pPr>
            <w:r>
              <w:rPr>
                <w:rFonts w:ascii="Arial" w:hAnsi="Arial"/>
                <w:b/>
                <w:sz w:val="16"/>
                <w:szCs w:val="16"/>
                <w:u w:val="single"/>
              </w:rPr>
              <w:t>Coût direct et amortissement du produit, de l’appareil ou de l'équipement directement testé.</w:t>
            </w:r>
          </w:p>
        </w:tc>
        <w:tc>
          <w:tcPr>
            <w:tcW w:w="2586" w:type="dxa"/>
          </w:tcPr>
          <w:p w14:paraId="2D7947AB" w14:textId="77777777" w:rsidR="00DB3A78" w:rsidRPr="008D246C" w:rsidRDefault="00DB3A78" w:rsidP="00A65D10">
            <w:pPr>
              <w:spacing w:line="276" w:lineRule="auto"/>
              <w:rPr>
                <w:rFonts w:ascii="Arial" w:hAnsi="Arial" w:cs="Arial"/>
                <w:sz w:val="16"/>
              </w:rPr>
            </w:pPr>
          </w:p>
          <w:p w14:paraId="20BF43B0"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Équipement, documentation ou fournitures neufs donnés, évalués :</w:t>
            </w:r>
          </w:p>
          <w:p w14:paraId="6494853C" w14:textId="77777777" w:rsidR="00DB3A78" w:rsidRPr="008D246C" w:rsidRDefault="00DB3A78" w:rsidP="00A65D10">
            <w:pPr>
              <w:spacing w:line="276" w:lineRule="auto"/>
              <w:ind w:right="75"/>
              <w:rPr>
                <w:rFonts w:ascii="Arial" w:eastAsia="Times New Roman" w:hAnsi="Arial" w:cs="Arial"/>
                <w:color w:val="000000"/>
                <w:sz w:val="16"/>
                <w:szCs w:val="16"/>
              </w:rPr>
            </w:pPr>
          </w:p>
          <w:p w14:paraId="30C847E2" w14:textId="77777777" w:rsidR="00DB3A78" w:rsidRPr="008D246C" w:rsidRDefault="00DB3A78" w:rsidP="00A65D10">
            <w:pPr>
              <w:spacing w:line="276" w:lineRule="auto"/>
              <w:rPr>
                <w:rFonts w:ascii="Arial" w:eastAsia="Times New Roman" w:hAnsi="Arial" w:cs="Arial"/>
                <w:b/>
                <w:color w:val="000000"/>
                <w:sz w:val="16"/>
                <w:szCs w:val="16"/>
              </w:rPr>
            </w:pPr>
            <w:r>
              <w:rPr>
                <w:rFonts w:ascii="Arial" w:hAnsi="Arial"/>
                <w:b/>
                <w:color w:val="000000"/>
                <w:sz w:val="16"/>
                <w:szCs w:val="16"/>
              </w:rPr>
              <w:t>selon le prix de vente au détail (s’il s’agit d’un article en stock) ou le coût direct de fabrication (s’il s’agit d’un article unique).</w:t>
            </w:r>
          </w:p>
          <w:p w14:paraId="0E7A70F6" w14:textId="77777777" w:rsidR="00DB3A78" w:rsidRPr="008D246C" w:rsidRDefault="00DB3A78" w:rsidP="00A65D10">
            <w:pPr>
              <w:spacing w:line="276" w:lineRule="auto"/>
              <w:rPr>
                <w:rFonts w:ascii="Arial" w:eastAsia="Times New Roman" w:hAnsi="Arial" w:cs="Arial"/>
                <w:color w:val="000000"/>
                <w:sz w:val="16"/>
                <w:szCs w:val="16"/>
              </w:rPr>
            </w:pPr>
          </w:p>
          <w:p w14:paraId="0A4C4844"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Équipement, documentation ou fournitures usagés donnés, évalués :</w:t>
            </w:r>
          </w:p>
          <w:p w14:paraId="2B7D0357" w14:textId="77777777" w:rsidR="00DB3A78" w:rsidRPr="008D246C" w:rsidRDefault="00DB3A78" w:rsidP="00A65D10">
            <w:pPr>
              <w:spacing w:line="276" w:lineRule="auto"/>
              <w:rPr>
                <w:rFonts w:ascii="Arial" w:eastAsia="Times New Roman" w:hAnsi="Arial" w:cs="Arial"/>
                <w:color w:val="000000"/>
                <w:sz w:val="16"/>
                <w:szCs w:val="16"/>
              </w:rPr>
            </w:pPr>
          </w:p>
          <w:p w14:paraId="75F5E1A4" w14:textId="77777777" w:rsidR="00DB3A78" w:rsidRPr="008D246C" w:rsidRDefault="00DB3A78" w:rsidP="00A65D10">
            <w:pPr>
              <w:spacing w:line="276" w:lineRule="auto"/>
              <w:ind w:right="75"/>
              <w:rPr>
                <w:rFonts w:ascii="Arial" w:eastAsia="Times New Roman" w:hAnsi="Arial" w:cs="Arial"/>
                <w:b/>
                <w:color w:val="000000"/>
                <w:sz w:val="16"/>
                <w:szCs w:val="16"/>
              </w:rPr>
            </w:pPr>
            <w:r>
              <w:rPr>
                <w:rFonts w:ascii="Arial" w:hAnsi="Arial"/>
                <w:b/>
                <w:color w:val="000000"/>
                <w:sz w:val="16"/>
                <w:szCs w:val="16"/>
              </w:rPr>
              <w:t>selon la juste valeur marchande ou la valeur comptable nette de l’entreprise (s’il s’agit d’un article unique).</w:t>
            </w:r>
          </w:p>
          <w:p w14:paraId="74DE43E4" w14:textId="77777777" w:rsidR="00DB3A78" w:rsidRPr="008D246C" w:rsidRDefault="00DB3A78" w:rsidP="00A65D10">
            <w:pPr>
              <w:spacing w:line="276" w:lineRule="auto"/>
              <w:ind w:right="75"/>
              <w:rPr>
                <w:rFonts w:ascii="Arial" w:eastAsia="Times New Roman" w:hAnsi="Arial" w:cs="Arial"/>
                <w:color w:val="000000"/>
                <w:sz w:val="16"/>
                <w:szCs w:val="16"/>
              </w:rPr>
            </w:pPr>
          </w:p>
          <w:p w14:paraId="0DDF70A7"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Équipement, documentation ou fournitures prêtés, évalués :</w:t>
            </w:r>
          </w:p>
          <w:p w14:paraId="4FF15CA8" w14:textId="77777777" w:rsidR="00DB3A78" w:rsidRPr="008D246C" w:rsidRDefault="00DB3A78" w:rsidP="00A65D10">
            <w:pPr>
              <w:spacing w:line="276" w:lineRule="auto"/>
              <w:ind w:right="75"/>
              <w:rPr>
                <w:rFonts w:ascii="Arial" w:eastAsia="Times New Roman" w:hAnsi="Arial" w:cs="Arial"/>
                <w:color w:val="000000"/>
                <w:sz w:val="16"/>
                <w:szCs w:val="16"/>
              </w:rPr>
            </w:pPr>
          </w:p>
          <w:p w14:paraId="797C7664" w14:textId="77777777" w:rsidR="00DB3A78" w:rsidRPr="008D246C" w:rsidRDefault="00DB3A78" w:rsidP="00A65D10">
            <w:pPr>
              <w:spacing w:line="276" w:lineRule="auto"/>
              <w:ind w:right="75"/>
              <w:rPr>
                <w:rFonts w:ascii="Arial" w:eastAsia="Times New Roman" w:hAnsi="Arial" w:cs="Arial"/>
                <w:b/>
                <w:color w:val="000000"/>
                <w:sz w:val="16"/>
                <w:szCs w:val="16"/>
              </w:rPr>
            </w:pPr>
            <w:r>
              <w:rPr>
                <w:rFonts w:ascii="Arial" w:hAnsi="Arial"/>
                <w:b/>
                <w:color w:val="000000"/>
                <w:sz w:val="16"/>
                <w:szCs w:val="16"/>
              </w:rPr>
              <w:t xml:space="preserve">selon un équivalent en location basé sur une convention de bail ou un contrat de location standard.  </w:t>
            </w:r>
          </w:p>
          <w:p w14:paraId="36D6C09B" w14:textId="77777777" w:rsidR="00DB3A78" w:rsidRPr="008D246C" w:rsidRDefault="00DB3A78" w:rsidP="00A65D10">
            <w:pPr>
              <w:spacing w:line="276" w:lineRule="auto"/>
              <w:rPr>
                <w:rFonts w:ascii="Arial" w:hAnsi="Arial" w:cs="Arial"/>
                <w:sz w:val="16"/>
              </w:rPr>
            </w:pPr>
          </w:p>
        </w:tc>
      </w:tr>
      <w:tr w:rsidR="00DB3A78" w:rsidRPr="008D246C" w14:paraId="496D29A6" w14:textId="77777777" w:rsidTr="00AF6402">
        <w:tc>
          <w:tcPr>
            <w:tcW w:w="2155" w:type="dxa"/>
            <w:tcBorders>
              <w:bottom w:val="single" w:sz="4" w:space="0" w:color="auto"/>
            </w:tcBorders>
          </w:tcPr>
          <w:p w14:paraId="2C2C4B5C" w14:textId="77777777" w:rsidR="00DB3A78" w:rsidRPr="008D246C" w:rsidRDefault="00DB3A78" w:rsidP="00A65D10">
            <w:pPr>
              <w:spacing w:line="276" w:lineRule="auto"/>
              <w:rPr>
                <w:rFonts w:ascii="Arial" w:eastAsia="Times New Roman" w:hAnsi="Arial" w:cs="Arial"/>
                <w:b/>
                <w:bCs/>
                <w:color w:val="000000"/>
                <w:sz w:val="16"/>
                <w:szCs w:val="16"/>
              </w:rPr>
            </w:pPr>
            <w:r>
              <w:br w:type="page"/>
            </w:r>
          </w:p>
          <w:p w14:paraId="3A53C3FE"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b/>
                <w:bCs/>
                <w:color w:val="000000"/>
                <w:sz w:val="16"/>
                <w:szCs w:val="16"/>
              </w:rPr>
              <w:t>Logiciel, nouvelles technologies et bases de données</w:t>
            </w:r>
          </w:p>
        </w:tc>
        <w:tc>
          <w:tcPr>
            <w:tcW w:w="2712" w:type="dxa"/>
            <w:tcBorders>
              <w:bottom w:val="single" w:sz="4" w:space="0" w:color="auto"/>
            </w:tcBorders>
          </w:tcPr>
          <w:p w14:paraId="3A92AA43" w14:textId="77777777" w:rsidR="00DB3A78" w:rsidRPr="008D246C" w:rsidRDefault="00DB3A78" w:rsidP="00A65D10">
            <w:pPr>
              <w:spacing w:line="276" w:lineRule="auto"/>
              <w:rPr>
                <w:rFonts w:ascii="Arial" w:eastAsia="Times New Roman" w:hAnsi="Arial" w:cs="Arial"/>
                <w:color w:val="000000"/>
                <w:sz w:val="16"/>
                <w:szCs w:val="16"/>
              </w:rPr>
            </w:pPr>
          </w:p>
          <w:p w14:paraId="279A8EA7"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Le coût d’achat des licences requises pour le projet, si elles ne sont pas déjà fournies par les partenaires en matière de soins aux personnes âgées.</w:t>
            </w:r>
          </w:p>
          <w:p w14:paraId="6F5F6CFD" w14:textId="77777777" w:rsidR="00DB3A78" w:rsidRPr="008D246C" w:rsidRDefault="00DB3A78" w:rsidP="00A65D10">
            <w:pPr>
              <w:spacing w:line="276" w:lineRule="auto"/>
              <w:rPr>
                <w:rFonts w:ascii="Arial" w:eastAsia="Times New Roman" w:hAnsi="Arial" w:cs="Arial"/>
                <w:color w:val="000000"/>
                <w:sz w:val="16"/>
                <w:szCs w:val="16"/>
              </w:rPr>
            </w:pPr>
          </w:p>
          <w:p w14:paraId="3AE51B53"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Coût de développement de nouvelles technologies relatives au projet.</w:t>
            </w:r>
          </w:p>
          <w:p w14:paraId="02560AE9" w14:textId="77777777" w:rsidR="00DB3A78" w:rsidRPr="008D246C" w:rsidRDefault="00DB3A78" w:rsidP="00A65D10">
            <w:pPr>
              <w:spacing w:line="276" w:lineRule="auto"/>
              <w:rPr>
                <w:rFonts w:ascii="Arial" w:eastAsia="Times New Roman" w:hAnsi="Arial" w:cs="Arial"/>
                <w:color w:val="000000"/>
                <w:sz w:val="16"/>
                <w:szCs w:val="16"/>
              </w:rPr>
            </w:pPr>
          </w:p>
          <w:p w14:paraId="39ED3242"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Accès à des bases de données uniques.</w:t>
            </w:r>
          </w:p>
          <w:p w14:paraId="5BADEEDC" w14:textId="77777777" w:rsidR="00DB3A78" w:rsidRPr="008D246C" w:rsidRDefault="00DB3A78" w:rsidP="00A65D10">
            <w:pPr>
              <w:spacing w:line="276" w:lineRule="auto"/>
              <w:rPr>
                <w:rFonts w:ascii="Arial" w:eastAsia="Times New Roman" w:hAnsi="Arial" w:cs="Arial"/>
                <w:color w:val="000000"/>
                <w:sz w:val="16"/>
                <w:szCs w:val="16"/>
              </w:rPr>
            </w:pPr>
          </w:p>
          <w:p w14:paraId="3AB15972"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Coûts liés à la collecte, à la dépersonnalisation et à l’archivage de données là où :</w:t>
            </w:r>
          </w:p>
          <w:p w14:paraId="40C136FE" w14:textId="77777777" w:rsidR="00DB3A78" w:rsidRPr="008D246C" w:rsidRDefault="00DB3A78" w:rsidP="00A65D10">
            <w:pPr>
              <w:numPr>
                <w:ilvl w:val="0"/>
                <w:numId w:val="4"/>
              </w:numPr>
              <w:tabs>
                <w:tab w:val="clear" w:pos="720"/>
                <w:tab w:val="num" w:pos="342"/>
              </w:tabs>
              <w:spacing w:line="276" w:lineRule="auto"/>
              <w:ind w:left="342" w:right="75" w:hanging="270"/>
              <w:rPr>
                <w:rFonts w:ascii="Arial" w:eastAsia="Times New Roman" w:hAnsi="Arial" w:cs="Arial"/>
                <w:color w:val="000000"/>
                <w:sz w:val="16"/>
                <w:szCs w:val="16"/>
              </w:rPr>
            </w:pPr>
            <w:r>
              <w:rPr>
                <w:rFonts w:ascii="Arial" w:hAnsi="Arial"/>
                <w:color w:val="000000"/>
                <w:sz w:val="16"/>
                <w:szCs w:val="16"/>
              </w:rPr>
              <w:t>les données sont essentielles au succès du projet;</w:t>
            </w:r>
          </w:p>
          <w:p w14:paraId="4F677A2D" w14:textId="77777777" w:rsidR="00DB3A78" w:rsidRPr="008D246C" w:rsidRDefault="00DB3A78" w:rsidP="00A65D10">
            <w:pPr>
              <w:numPr>
                <w:ilvl w:val="0"/>
                <w:numId w:val="4"/>
              </w:numPr>
              <w:tabs>
                <w:tab w:val="clear" w:pos="720"/>
                <w:tab w:val="num" w:pos="342"/>
              </w:tabs>
              <w:spacing w:line="276" w:lineRule="auto"/>
              <w:ind w:left="342" w:right="75" w:hanging="270"/>
              <w:rPr>
                <w:rFonts w:ascii="Arial" w:eastAsia="Times New Roman" w:hAnsi="Arial" w:cs="Arial"/>
                <w:color w:val="000000"/>
                <w:sz w:val="16"/>
                <w:szCs w:val="16"/>
              </w:rPr>
            </w:pPr>
            <w:r>
              <w:rPr>
                <w:rFonts w:ascii="Arial" w:hAnsi="Arial"/>
                <w:color w:val="000000"/>
                <w:sz w:val="16"/>
                <w:szCs w:val="16"/>
              </w:rPr>
              <w:t>il existe un engagement pour l’archivage des données, une fois convenablement nettoyées, dans une base de données dans un délai raisonnable suivant l’achèvement du projet; et</w:t>
            </w:r>
          </w:p>
          <w:p w14:paraId="4FC6EA43" w14:textId="77777777" w:rsidR="00DB3A78" w:rsidRPr="008D246C" w:rsidRDefault="00DB3A78" w:rsidP="00A65D10">
            <w:pPr>
              <w:numPr>
                <w:ilvl w:val="0"/>
                <w:numId w:val="4"/>
              </w:numPr>
              <w:tabs>
                <w:tab w:val="clear" w:pos="720"/>
                <w:tab w:val="num" w:pos="342"/>
              </w:tabs>
              <w:spacing w:line="276" w:lineRule="auto"/>
              <w:ind w:left="342" w:right="75" w:hanging="270"/>
              <w:rPr>
                <w:rFonts w:ascii="Arial" w:eastAsia="Times New Roman" w:hAnsi="Arial" w:cs="Arial"/>
                <w:color w:val="000000"/>
                <w:sz w:val="16"/>
                <w:szCs w:val="16"/>
              </w:rPr>
            </w:pPr>
            <w:r>
              <w:rPr>
                <w:rFonts w:ascii="Arial" w:hAnsi="Arial"/>
                <w:color w:val="000000"/>
                <w:sz w:val="16"/>
                <w:szCs w:val="16"/>
              </w:rPr>
              <w:t xml:space="preserve">la base de données demeure </w:t>
            </w:r>
            <w:r>
              <w:rPr>
                <w:rFonts w:ascii="Arial" w:hAnsi="Arial"/>
                <w:color w:val="000000"/>
                <w:sz w:val="16"/>
                <w:szCs w:val="16"/>
              </w:rPr>
              <w:lastRenderedPageBreak/>
              <w:t>du domaine public.</w:t>
            </w:r>
          </w:p>
          <w:p w14:paraId="1D15E4FC" w14:textId="77777777" w:rsidR="00DB3A78" w:rsidRPr="008D246C" w:rsidRDefault="00DB3A78" w:rsidP="00A65D10">
            <w:pPr>
              <w:spacing w:line="276" w:lineRule="auto"/>
              <w:ind w:left="600" w:right="75"/>
              <w:rPr>
                <w:rFonts w:ascii="Arial" w:eastAsia="Times New Roman" w:hAnsi="Arial" w:cs="Arial"/>
                <w:color w:val="000000"/>
                <w:sz w:val="16"/>
                <w:szCs w:val="16"/>
              </w:rPr>
            </w:pPr>
          </w:p>
        </w:tc>
        <w:tc>
          <w:tcPr>
            <w:tcW w:w="2807" w:type="dxa"/>
            <w:tcBorders>
              <w:bottom w:val="single" w:sz="4" w:space="0" w:color="auto"/>
            </w:tcBorders>
          </w:tcPr>
          <w:p w14:paraId="6BFE4673" w14:textId="77777777" w:rsidR="00DB3A78" w:rsidRPr="008D246C" w:rsidRDefault="00DB3A78" w:rsidP="00A65D10">
            <w:pPr>
              <w:spacing w:line="276" w:lineRule="auto"/>
              <w:rPr>
                <w:rFonts w:ascii="Arial" w:eastAsia="Times New Roman" w:hAnsi="Arial" w:cs="Arial"/>
                <w:color w:val="000000"/>
                <w:sz w:val="16"/>
                <w:szCs w:val="16"/>
              </w:rPr>
            </w:pPr>
          </w:p>
          <w:p w14:paraId="14E19EBE"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Coûts de nouveaux logiciels et de nouvelles technologies qui dépassent la portée ou la durée du projet. </w:t>
            </w:r>
          </w:p>
          <w:p w14:paraId="2E93A755" w14:textId="77777777" w:rsidR="00DB3A78" w:rsidRPr="008D246C" w:rsidRDefault="00DB3A78" w:rsidP="00A65D10">
            <w:pPr>
              <w:spacing w:line="276" w:lineRule="auto"/>
              <w:rPr>
                <w:rFonts w:ascii="Arial" w:eastAsia="Times New Roman" w:hAnsi="Arial" w:cs="Arial"/>
                <w:color w:val="000000"/>
                <w:sz w:val="16"/>
                <w:szCs w:val="16"/>
              </w:rPr>
            </w:pPr>
          </w:p>
          <w:p w14:paraId="71872637" w14:textId="77777777" w:rsidR="00DB3A78" w:rsidRPr="008D246C" w:rsidRDefault="00DB3A78" w:rsidP="00A65D10">
            <w:pPr>
              <w:spacing w:line="276" w:lineRule="auto"/>
              <w:rPr>
                <w:rFonts w:ascii="Arial" w:eastAsia="Times New Roman" w:hAnsi="Arial" w:cs="Arial"/>
                <w:color w:val="000000"/>
                <w:sz w:val="16"/>
                <w:szCs w:val="16"/>
              </w:rPr>
            </w:pPr>
          </w:p>
        </w:tc>
        <w:tc>
          <w:tcPr>
            <w:tcW w:w="2586" w:type="dxa"/>
            <w:tcBorders>
              <w:bottom w:val="single" w:sz="4" w:space="0" w:color="auto"/>
            </w:tcBorders>
          </w:tcPr>
          <w:p w14:paraId="68D210FA" w14:textId="77777777" w:rsidR="00DB3A78" w:rsidRPr="008D246C" w:rsidRDefault="00DB3A78" w:rsidP="00A65D10">
            <w:pPr>
              <w:spacing w:line="276" w:lineRule="auto"/>
              <w:rPr>
                <w:rFonts w:ascii="Arial" w:hAnsi="Arial" w:cs="Arial"/>
                <w:b/>
                <w:sz w:val="16"/>
              </w:rPr>
            </w:pPr>
          </w:p>
          <w:p w14:paraId="5DE2308B" w14:textId="77777777" w:rsidR="00DB3A78" w:rsidRPr="008D246C" w:rsidRDefault="00DB3A78" w:rsidP="00A65D10">
            <w:pPr>
              <w:spacing w:line="276" w:lineRule="auto"/>
              <w:rPr>
                <w:rFonts w:ascii="Arial" w:hAnsi="Arial" w:cs="Arial"/>
                <w:b/>
                <w:sz w:val="16"/>
              </w:rPr>
            </w:pPr>
            <w:r>
              <w:rPr>
                <w:rFonts w:ascii="Arial" w:hAnsi="Arial"/>
                <w:b/>
                <w:sz w:val="16"/>
              </w:rPr>
              <w:t>Les logiciels, les nouvelles technologies et les bases de données seront évalués au prix coûtant.</w:t>
            </w:r>
          </w:p>
        </w:tc>
      </w:tr>
    </w:tbl>
    <w:p w14:paraId="7BE3A762" w14:textId="77777777" w:rsidR="00DB3A78" w:rsidRDefault="00DB3A78" w:rsidP="00A65D10">
      <w:pPr>
        <w:rPr>
          <w:rFonts w:ascii="Arial" w:hAnsi="Arial" w:cs="Arial"/>
        </w:rPr>
      </w:pPr>
    </w:p>
    <w:p w14:paraId="679951E3" w14:textId="77777777" w:rsidR="00DB3A78" w:rsidRDefault="00DB3A78" w:rsidP="00A65D10">
      <w:r>
        <w:br w:type="page"/>
      </w:r>
    </w:p>
    <w:tbl>
      <w:tblPr>
        <w:tblStyle w:val="TableGrid"/>
        <w:tblW w:w="0" w:type="auto"/>
        <w:tblInd w:w="108" w:type="dxa"/>
        <w:tblLook w:val="04A0" w:firstRow="1" w:lastRow="0" w:firstColumn="1" w:lastColumn="0" w:noHBand="0" w:noVBand="1"/>
        <w:tblDescription w:val="This Table outlines the Eligible and Non-Eligible In kind Contributions and their valuation method, across the categories of Use of Facilities, and Other expenditures. "/>
      </w:tblPr>
      <w:tblGrid>
        <w:gridCol w:w="2155"/>
        <w:gridCol w:w="2712"/>
        <w:gridCol w:w="2807"/>
        <w:gridCol w:w="2586"/>
      </w:tblGrid>
      <w:tr w:rsidR="00DB3A78" w:rsidRPr="008D246C" w14:paraId="200C07A2" w14:textId="77777777" w:rsidTr="00DB3A78">
        <w:trPr>
          <w:trHeight w:val="446"/>
        </w:trPr>
        <w:tc>
          <w:tcPr>
            <w:tcW w:w="2155" w:type="dxa"/>
            <w:shd w:val="solid" w:color="1F497D" w:themeColor="text2" w:fill="auto"/>
            <w:vAlign w:val="center"/>
          </w:tcPr>
          <w:p w14:paraId="7FE751E5" w14:textId="77777777" w:rsidR="00DB3A78" w:rsidRPr="008D246C" w:rsidRDefault="00DB3A78" w:rsidP="007838A2">
            <w:pPr>
              <w:spacing w:line="276" w:lineRule="auto"/>
              <w:jc w:val="center"/>
              <w:rPr>
                <w:rFonts w:ascii="Arial" w:hAnsi="Arial" w:cs="Arial"/>
                <w:b/>
                <w:color w:val="FFFFFF" w:themeColor="background1"/>
                <w:sz w:val="18"/>
              </w:rPr>
            </w:pPr>
            <w:r>
              <w:lastRenderedPageBreak/>
              <w:br w:type="page"/>
            </w:r>
            <w:r>
              <w:rPr>
                <w:rFonts w:ascii="Arial" w:hAnsi="Arial"/>
                <w:b/>
                <w:color w:val="FFFFFF" w:themeColor="background1"/>
                <w:sz w:val="18"/>
              </w:rPr>
              <w:t>Catégorie</w:t>
            </w:r>
          </w:p>
        </w:tc>
        <w:tc>
          <w:tcPr>
            <w:tcW w:w="2712" w:type="dxa"/>
            <w:shd w:val="solid" w:color="1F497D" w:themeColor="text2" w:fill="auto"/>
            <w:vAlign w:val="center"/>
          </w:tcPr>
          <w:p w14:paraId="683DB5A0" w14:textId="77777777" w:rsidR="00DB3A78" w:rsidRPr="008D246C" w:rsidRDefault="00DB3A78" w:rsidP="007838A2">
            <w:pPr>
              <w:spacing w:line="276" w:lineRule="auto"/>
              <w:jc w:val="center"/>
              <w:rPr>
                <w:rFonts w:ascii="Arial" w:hAnsi="Arial" w:cs="Arial"/>
                <w:b/>
                <w:color w:val="FFFFFF" w:themeColor="background1"/>
                <w:sz w:val="18"/>
              </w:rPr>
            </w:pPr>
            <w:r>
              <w:rPr>
                <w:rFonts w:ascii="Arial" w:hAnsi="Arial"/>
                <w:b/>
                <w:color w:val="FFFFFF" w:themeColor="background1"/>
                <w:sz w:val="18"/>
              </w:rPr>
              <w:t>Admissible</w:t>
            </w:r>
          </w:p>
        </w:tc>
        <w:tc>
          <w:tcPr>
            <w:tcW w:w="2807" w:type="dxa"/>
            <w:shd w:val="solid" w:color="1F497D" w:themeColor="text2" w:fill="auto"/>
            <w:vAlign w:val="center"/>
          </w:tcPr>
          <w:p w14:paraId="226DA9A5" w14:textId="77777777" w:rsidR="00DB3A78" w:rsidRPr="008D246C" w:rsidRDefault="00DB3A78" w:rsidP="007838A2">
            <w:pPr>
              <w:spacing w:line="276" w:lineRule="auto"/>
              <w:jc w:val="center"/>
              <w:rPr>
                <w:rFonts w:ascii="Arial" w:hAnsi="Arial" w:cs="Arial"/>
                <w:b/>
                <w:color w:val="FFFFFF" w:themeColor="background1"/>
                <w:sz w:val="18"/>
              </w:rPr>
            </w:pPr>
            <w:r>
              <w:rPr>
                <w:rFonts w:ascii="Arial" w:hAnsi="Arial"/>
                <w:b/>
                <w:color w:val="FFFFFF" w:themeColor="background1"/>
                <w:sz w:val="18"/>
              </w:rPr>
              <w:t>Non admissible</w:t>
            </w:r>
          </w:p>
        </w:tc>
        <w:tc>
          <w:tcPr>
            <w:tcW w:w="2586" w:type="dxa"/>
            <w:shd w:val="solid" w:color="1F497D" w:themeColor="text2" w:fill="auto"/>
            <w:vAlign w:val="center"/>
          </w:tcPr>
          <w:p w14:paraId="6411F5B5" w14:textId="77777777" w:rsidR="00DB3A78" w:rsidRPr="008D246C" w:rsidRDefault="00DB3A78" w:rsidP="007838A2">
            <w:pPr>
              <w:spacing w:line="276" w:lineRule="auto"/>
              <w:jc w:val="center"/>
              <w:rPr>
                <w:rFonts w:ascii="Arial" w:hAnsi="Arial" w:cs="Arial"/>
                <w:b/>
                <w:color w:val="FFFFFF" w:themeColor="background1"/>
                <w:sz w:val="18"/>
              </w:rPr>
            </w:pPr>
            <w:r>
              <w:rPr>
                <w:rFonts w:ascii="Arial" w:hAnsi="Arial"/>
                <w:b/>
                <w:color w:val="FFFFFF" w:themeColor="background1"/>
                <w:sz w:val="18"/>
              </w:rPr>
              <w:t>Évaluation</w:t>
            </w:r>
          </w:p>
        </w:tc>
      </w:tr>
      <w:tr w:rsidR="00DB3A78" w:rsidRPr="008D246C" w14:paraId="6913264C" w14:textId="77777777" w:rsidTr="00AF6402">
        <w:tc>
          <w:tcPr>
            <w:tcW w:w="2155" w:type="dxa"/>
          </w:tcPr>
          <w:p w14:paraId="088D9464" w14:textId="77777777" w:rsidR="00DB3A78" w:rsidRPr="008D246C" w:rsidRDefault="00DB3A78" w:rsidP="00A65D10">
            <w:pPr>
              <w:spacing w:line="276" w:lineRule="auto"/>
              <w:rPr>
                <w:rFonts w:ascii="Arial" w:eastAsia="Times New Roman" w:hAnsi="Arial" w:cs="Arial"/>
                <w:b/>
                <w:bCs/>
                <w:color w:val="000000"/>
                <w:sz w:val="16"/>
                <w:szCs w:val="16"/>
              </w:rPr>
            </w:pPr>
          </w:p>
          <w:p w14:paraId="3A827F32"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b/>
                <w:bCs/>
                <w:color w:val="000000"/>
                <w:sz w:val="16"/>
                <w:szCs w:val="16"/>
              </w:rPr>
              <w:t>Utilisation d’installations</w:t>
            </w:r>
          </w:p>
        </w:tc>
        <w:tc>
          <w:tcPr>
            <w:tcW w:w="2712" w:type="dxa"/>
          </w:tcPr>
          <w:p w14:paraId="3B5663DA" w14:textId="77777777" w:rsidR="00DB3A78" w:rsidRPr="008D246C" w:rsidRDefault="00DB3A78" w:rsidP="00A65D10">
            <w:pPr>
              <w:spacing w:line="276" w:lineRule="auto"/>
              <w:rPr>
                <w:rFonts w:ascii="Arial" w:eastAsia="Times New Roman" w:hAnsi="Arial" w:cs="Arial"/>
                <w:color w:val="000000"/>
                <w:sz w:val="16"/>
                <w:szCs w:val="16"/>
              </w:rPr>
            </w:pPr>
          </w:p>
          <w:p w14:paraId="7C416EFE"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Salles de réunion, espaces ou installations donnés pour lesquels des frais seraient autrement facturés.</w:t>
            </w:r>
          </w:p>
          <w:p w14:paraId="754C0D71" w14:textId="77777777" w:rsidR="00DB3A78" w:rsidRPr="008D246C" w:rsidRDefault="00DB3A78" w:rsidP="00A65D10">
            <w:pPr>
              <w:spacing w:line="276" w:lineRule="auto"/>
              <w:rPr>
                <w:rFonts w:ascii="Arial" w:eastAsia="Times New Roman" w:hAnsi="Arial" w:cs="Arial"/>
                <w:color w:val="000000"/>
                <w:sz w:val="16"/>
                <w:szCs w:val="16"/>
              </w:rPr>
            </w:pPr>
          </w:p>
          <w:p w14:paraId="01AC9BF8"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 xml:space="preserve">Locaux supplémentaires pour bureaux donnés qui peuvent se trouver sur le site d’un partenaire ou fournis par le contributeur, </w:t>
            </w:r>
            <w:r>
              <w:rPr>
                <w:rFonts w:ascii="Arial" w:hAnsi="Arial"/>
                <w:b/>
                <w:bCs/>
                <w:color w:val="000000"/>
                <w:sz w:val="16"/>
                <w:szCs w:val="16"/>
              </w:rPr>
              <w:t>tant que l’espace fourni est en sus de l’espace fourni au demandeur dans le cadre de ses conditions d’emploi normales</w:t>
            </w:r>
            <w:r>
              <w:rPr>
                <w:rFonts w:ascii="Arial" w:hAnsi="Arial"/>
                <w:color w:val="000000"/>
                <w:sz w:val="16"/>
                <w:szCs w:val="16"/>
              </w:rPr>
              <w:t xml:space="preserve"> (p. ex., local additionnel pour bureau requis pour accueillir des membres de l'équipe, du personnel et des collaborateurs qui contribuent au projet).</w:t>
            </w:r>
          </w:p>
          <w:p w14:paraId="55E82C92" w14:textId="77777777" w:rsidR="00DB3A78" w:rsidRPr="008D246C" w:rsidRDefault="00DB3A78" w:rsidP="00A65D10">
            <w:pPr>
              <w:spacing w:line="276" w:lineRule="auto"/>
              <w:rPr>
                <w:rFonts w:ascii="Arial" w:eastAsia="Times New Roman" w:hAnsi="Arial" w:cs="Arial"/>
                <w:color w:val="000000"/>
                <w:sz w:val="16"/>
                <w:szCs w:val="16"/>
              </w:rPr>
            </w:pPr>
          </w:p>
          <w:p w14:paraId="4702AEB7"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Coûts de location pour de l'équipement spécialisé requis lors d'événements.</w:t>
            </w:r>
          </w:p>
          <w:p w14:paraId="4CF56C82" w14:textId="77777777" w:rsidR="00DB3A78" w:rsidRPr="008D246C" w:rsidRDefault="00DB3A78" w:rsidP="00A65D10">
            <w:pPr>
              <w:spacing w:line="276" w:lineRule="auto"/>
              <w:rPr>
                <w:rFonts w:ascii="Arial" w:eastAsia="Times New Roman" w:hAnsi="Arial" w:cs="Arial"/>
                <w:color w:val="000000"/>
                <w:sz w:val="16"/>
                <w:szCs w:val="16"/>
              </w:rPr>
            </w:pPr>
          </w:p>
        </w:tc>
        <w:tc>
          <w:tcPr>
            <w:tcW w:w="2807" w:type="dxa"/>
          </w:tcPr>
          <w:p w14:paraId="7E50A2BF"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 </w:t>
            </w:r>
          </w:p>
          <w:p w14:paraId="76806C53"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Coûts indirects ou frais généraux associés à la fourniture d’installations générales, aux services de base, à l’achat et à la réparation de matériel et de mobilier de bureau, aux frais d’administration, aux assurances pour l'équipement, et aux appareils de communication de base comme les téléphones et les télécopieurs qui ne contribuent pas directement au projet.</w:t>
            </w:r>
          </w:p>
          <w:p w14:paraId="37C89E92" w14:textId="77777777" w:rsidR="00DB3A78" w:rsidRPr="008D246C" w:rsidRDefault="00DB3A78" w:rsidP="00A65D10">
            <w:pPr>
              <w:spacing w:line="276" w:lineRule="auto"/>
              <w:rPr>
                <w:rFonts w:ascii="Arial" w:eastAsia="Times New Roman" w:hAnsi="Arial" w:cs="Arial"/>
                <w:color w:val="000000"/>
                <w:sz w:val="16"/>
                <w:szCs w:val="16"/>
              </w:rPr>
            </w:pPr>
          </w:p>
          <w:p w14:paraId="2678089A"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Coût d'occasion perdue, soit des revenus perdus par le contributeur du fait qu’il n’a pas mené à bien certaines activités bénéfiques en raison de sa participation au projet et aux programmes connexes.</w:t>
            </w:r>
          </w:p>
        </w:tc>
        <w:tc>
          <w:tcPr>
            <w:tcW w:w="2586" w:type="dxa"/>
          </w:tcPr>
          <w:p w14:paraId="65EED34F" w14:textId="77777777" w:rsidR="00DB3A78" w:rsidRPr="008D246C" w:rsidRDefault="00DB3A78" w:rsidP="00A65D10">
            <w:pPr>
              <w:spacing w:line="276" w:lineRule="auto"/>
              <w:rPr>
                <w:rFonts w:ascii="Arial" w:hAnsi="Arial" w:cs="Arial"/>
                <w:b/>
                <w:sz w:val="16"/>
              </w:rPr>
            </w:pPr>
          </w:p>
          <w:p w14:paraId="162D75F6" w14:textId="77777777" w:rsidR="00DB3A78" w:rsidRPr="008D246C" w:rsidRDefault="00DB3A78" w:rsidP="00A65D10">
            <w:pPr>
              <w:spacing w:line="276" w:lineRule="auto"/>
              <w:rPr>
                <w:rFonts w:ascii="Arial" w:hAnsi="Arial" w:cs="Arial"/>
                <w:b/>
                <w:sz w:val="16"/>
              </w:rPr>
            </w:pPr>
            <w:r>
              <w:rPr>
                <w:rFonts w:ascii="Arial" w:hAnsi="Arial"/>
                <w:b/>
                <w:color w:val="000000"/>
                <w:sz w:val="16"/>
                <w:szCs w:val="16"/>
              </w:rPr>
              <w:t>L’utilisation de salles de réunion doit être évaluée selon les tarifs normalement facturés au personnel, et non aux tarifs facturés à des clients externes.</w:t>
            </w:r>
          </w:p>
        </w:tc>
      </w:tr>
      <w:tr w:rsidR="00DB3A78" w:rsidRPr="008D246C" w14:paraId="7347C58C" w14:textId="77777777" w:rsidTr="00AF6402">
        <w:tc>
          <w:tcPr>
            <w:tcW w:w="2155" w:type="dxa"/>
          </w:tcPr>
          <w:p w14:paraId="1EB119D6" w14:textId="77777777" w:rsidR="00DB3A78" w:rsidRPr="008D246C" w:rsidRDefault="00DB3A78" w:rsidP="00A65D10">
            <w:pPr>
              <w:spacing w:line="276" w:lineRule="auto"/>
              <w:rPr>
                <w:rFonts w:ascii="Arial" w:eastAsia="Times New Roman" w:hAnsi="Arial" w:cs="Arial"/>
                <w:b/>
                <w:bCs/>
                <w:color w:val="000000"/>
                <w:sz w:val="16"/>
                <w:szCs w:val="16"/>
              </w:rPr>
            </w:pPr>
          </w:p>
          <w:p w14:paraId="0B38F39F"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b/>
                <w:bCs/>
                <w:color w:val="000000"/>
                <w:sz w:val="16"/>
                <w:szCs w:val="16"/>
              </w:rPr>
              <w:t>Autres dépenses</w:t>
            </w:r>
          </w:p>
        </w:tc>
        <w:tc>
          <w:tcPr>
            <w:tcW w:w="2712" w:type="dxa"/>
          </w:tcPr>
          <w:p w14:paraId="22E6DC2D" w14:textId="77777777" w:rsidR="00DB3A78" w:rsidRPr="008D246C" w:rsidRDefault="00DB3A78" w:rsidP="00A65D10">
            <w:pPr>
              <w:spacing w:line="276" w:lineRule="auto"/>
              <w:rPr>
                <w:rFonts w:ascii="Arial" w:eastAsia="Times New Roman" w:hAnsi="Arial" w:cs="Arial"/>
                <w:color w:val="000000"/>
                <w:sz w:val="16"/>
                <w:szCs w:val="16"/>
              </w:rPr>
            </w:pPr>
          </w:p>
          <w:p w14:paraId="0D9973C8"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Autres dépenses directement associées à l’atteinte des résultats prévus et des jalons définis dans le projet qui sont définies dans le projet et qui respectent la portée et la durée du projet.</w:t>
            </w:r>
          </w:p>
          <w:p w14:paraId="52FB736E" w14:textId="77777777" w:rsidR="00DB3A78" w:rsidRPr="008D246C" w:rsidRDefault="00DB3A78" w:rsidP="00A65D10">
            <w:pPr>
              <w:spacing w:line="276" w:lineRule="auto"/>
              <w:rPr>
                <w:rFonts w:ascii="Arial" w:eastAsia="Times New Roman" w:hAnsi="Arial" w:cs="Arial"/>
                <w:color w:val="000000"/>
                <w:sz w:val="16"/>
                <w:szCs w:val="16"/>
              </w:rPr>
            </w:pPr>
          </w:p>
        </w:tc>
        <w:tc>
          <w:tcPr>
            <w:tcW w:w="2807" w:type="dxa"/>
          </w:tcPr>
          <w:p w14:paraId="13883082"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 </w:t>
            </w:r>
          </w:p>
          <w:p w14:paraId="6AB9B421"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 xml:space="preserve">Autres dépenses qui ne sont pas directement associées à l’atteinte des résultats prévus et des jalons définis dans le projet. </w:t>
            </w:r>
          </w:p>
          <w:p w14:paraId="71404C13" w14:textId="77777777" w:rsidR="00DB3A78" w:rsidRPr="008D246C" w:rsidRDefault="00DB3A78" w:rsidP="00A65D10">
            <w:pPr>
              <w:spacing w:line="276" w:lineRule="auto"/>
              <w:rPr>
                <w:rFonts w:ascii="Arial" w:eastAsia="Times New Roman" w:hAnsi="Arial" w:cs="Arial"/>
                <w:color w:val="000000"/>
                <w:sz w:val="16"/>
                <w:szCs w:val="16"/>
              </w:rPr>
            </w:pPr>
          </w:p>
          <w:p w14:paraId="4AB358EE" w14:textId="77777777" w:rsidR="00DB3A78" w:rsidRPr="008D246C" w:rsidRDefault="00DB3A78" w:rsidP="00A65D10">
            <w:pPr>
              <w:spacing w:line="276" w:lineRule="auto"/>
              <w:rPr>
                <w:rFonts w:ascii="Arial" w:eastAsia="Times New Roman" w:hAnsi="Arial" w:cs="Arial"/>
                <w:color w:val="000000"/>
                <w:sz w:val="16"/>
                <w:szCs w:val="16"/>
              </w:rPr>
            </w:pPr>
            <w:r>
              <w:rPr>
                <w:rFonts w:ascii="Arial" w:hAnsi="Arial"/>
                <w:color w:val="000000"/>
                <w:sz w:val="16"/>
                <w:szCs w:val="16"/>
              </w:rPr>
              <w:t>Autres dépenses engagées qui dépassent grandement la portée ou la durée du projet.</w:t>
            </w:r>
          </w:p>
          <w:p w14:paraId="5D678F2E" w14:textId="77777777" w:rsidR="00DB3A78" w:rsidRPr="008D246C" w:rsidRDefault="00DB3A78" w:rsidP="00A65D10">
            <w:pPr>
              <w:spacing w:line="276" w:lineRule="auto"/>
              <w:rPr>
                <w:rFonts w:ascii="Arial" w:eastAsia="Times New Roman" w:hAnsi="Arial" w:cs="Arial"/>
                <w:color w:val="000000"/>
                <w:sz w:val="16"/>
                <w:szCs w:val="16"/>
              </w:rPr>
            </w:pPr>
          </w:p>
        </w:tc>
        <w:tc>
          <w:tcPr>
            <w:tcW w:w="2586" w:type="dxa"/>
          </w:tcPr>
          <w:p w14:paraId="68ECC70D" w14:textId="77777777" w:rsidR="00DB3A78" w:rsidRPr="008D246C" w:rsidRDefault="00DB3A78" w:rsidP="00A65D10">
            <w:pPr>
              <w:spacing w:line="276" w:lineRule="auto"/>
              <w:rPr>
                <w:rFonts w:ascii="Arial" w:hAnsi="Arial" w:cs="Arial"/>
                <w:b/>
                <w:sz w:val="16"/>
              </w:rPr>
            </w:pPr>
          </w:p>
          <w:p w14:paraId="5E9D3AC7" w14:textId="77777777" w:rsidR="00DB3A78" w:rsidRPr="008D246C" w:rsidRDefault="00DB3A78" w:rsidP="00A65D10">
            <w:pPr>
              <w:spacing w:line="276" w:lineRule="auto"/>
              <w:rPr>
                <w:rFonts w:ascii="Arial" w:hAnsi="Arial" w:cs="Arial"/>
                <w:b/>
                <w:sz w:val="16"/>
              </w:rPr>
            </w:pPr>
            <w:r>
              <w:rPr>
                <w:rFonts w:ascii="Arial" w:hAnsi="Arial"/>
                <w:b/>
                <w:sz w:val="16"/>
              </w:rPr>
              <w:t>Les autres dépenses seront évaluées au prix coûtant ou selon la méthode d'évaluation la plus appropriée.</w:t>
            </w:r>
          </w:p>
          <w:p w14:paraId="50E4C433" w14:textId="77777777" w:rsidR="00DB3A78" w:rsidRPr="008D246C" w:rsidRDefault="00DB3A78" w:rsidP="00A65D10">
            <w:pPr>
              <w:spacing w:line="276" w:lineRule="auto"/>
              <w:rPr>
                <w:rFonts w:ascii="Arial" w:hAnsi="Arial" w:cs="Arial"/>
                <w:b/>
                <w:sz w:val="16"/>
              </w:rPr>
            </w:pPr>
          </w:p>
        </w:tc>
      </w:tr>
    </w:tbl>
    <w:p w14:paraId="237270B7" w14:textId="77777777" w:rsidR="0098449F" w:rsidRPr="008D246C" w:rsidRDefault="0098449F">
      <w:pPr>
        <w:rPr>
          <w:rFonts w:ascii="Arial" w:hAnsi="Arial" w:cs="Arial"/>
        </w:rPr>
      </w:pPr>
    </w:p>
    <w:sectPr w:rsidR="0098449F" w:rsidRPr="008D246C" w:rsidSect="005D5EC2">
      <w:headerReference w:type="default" r:id="rId9"/>
      <w:footerReference w:type="default" r:id="rId10"/>
      <w:pgSz w:w="12240" w:h="15840"/>
      <w:pgMar w:top="180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A95F0" w14:textId="77777777" w:rsidR="00D53CE4" w:rsidRDefault="00D53CE4" w:rsidP="007A12D7">
      <w:pPr>
        <w:spacing w:after="0" w:line="240" w:lineRule="auto"/>
      </w:pPr>
      <w:r>
        <w:separator/>
      </w:r>
    </w:p>
  </w:endnote>
  <w:endnote w:type="continuationSeparator" w:id="0">
    <w:p w14:paraId="34B2F908" w14:textId="77777777" w:rsidR="00D53CE4" w:rsidRDefault="00D53CE4" w:rsidP="007A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D7D1" w14:textId="77777777" w:rsidR="008D246C" w:rsidRDefault="008D246C" w:rsidP="008D246C">
    <w:pPr>
      <w:pStyle w:val="Footer"/>
    </w:pPr>
  </w:p>
  <w:p w14:paraId="7F20300F" w14:textId="77777777" w:rsidR="00627016" w:rsidRPr="00627016" w:rsidRDefault="00627016" w:rsidP="00627016">
    <w:pPr>
      <w:pStyle w:val="Footer"/>
      <w:rPr>
        <w:rFonts w:ascii="Arial" w:hAnsi="Arial" w:cs="Arial"/>
        <w:color w:val="808080" w:themeColor="background1" w:themeShade="80"/>
      </w:rPr>
    </w:pPr>
    <w:r w:rsidRPr="00627016">
      <w:rPr>
        <w:rFonts w:ascii="Arial" w:hAnsi="Arial" w:cs="Arial"/>
        <w:color w:val="808080" w:themeColor="background1" w:themeShade="80"/>
        <w:sz w:val="18"/>
      </w:rPr>
      <w:fldChar w:fldCharType="begin"/>
    </w:r>
    <w:r w:rsidRPr="00627016">
      <w:rPr>
        <w:rFonts w:ascii="Arial" w:hAnsi="Arial" w:cs="Arial"/>
        <w:color w:val="808080" w:themeColor="background1" w:themeShade="80"/>
        <w:sz w:val="18"/>
      </w:rPr>
      <w:instrText xml:space="preserve"> DATE  \@ "d MMMM yyyy HH:mm:ss"  \* MERGEFORMAT </w:instrText>
    </w:r>
    <w:r w:rsidRPr="00627016">
      <w:rPr>
        <w:rFonts w:ascii="Arial" w:hAnsi="Arial" w:cs="Arial"/>
        <w:color w:val="808080" w:themeColor="background1" w:themeShade="80"/>
        <w:sz w:val="18"/>
      </w:rPr>
      <w:fldChar w:fldCharType="separate"/>
    </w:r>
    <w:r w:rsidR="00F0361E">
      <w:rPr>
        <w:rFonts w:ascii="Arial" w:hAnsi="Arial" w:cs="Arial"/>
        <w:noProof/>
        <w:color w:val="808080" w:themeColor="background1" w:themeShade="80"/>
        <w:sz w:val="18"/>
      </w:rPr>
      <w:t>14 février 2018 11:46:14</w:t>
    </w:r>
    <w:r w:rsidRPr="00627016">
      <w:rPr>
        <w:rFonts w:ascii="Arial" w:hAnsi="Arial" w:cs="Arial"/>
        <w:color w:val="808080" w:themeColor="background1" w:themeShade="80"/>
        <w:sz w:val="18"/>
      </w:rPr>
      <w:fldChar w:fldCharType="end"/>
    </w:r>
    <w:r>
      <w:ptab w:relativeTo="margin" w:alignment="center" w:leader="none"/>
    </w:r>
    <w:r>
      <w:ptab w:relativeTo="margin" w:alignment="center" w:leader="none"/>
    </w:r>
    <w:r>
      <w:ptab w:relativeTo="margin" w:alignment="right" w:leader="none"/>
    </w:r>
    <w:r>
      <w:rPr>
        <w:rFonts w:ascii="Arial" w:hAnsi="Arial"/>
        <w:color w:val="808080" w:themeColor="background1" w:themeShade="80"/>
        <w:sz w:val="18"/>
        <w:szCs w:val="18"/>
      </w:rPr>
      <w:t xml:space="preserve">Page </w:t>
    </w:r>
    <w:r w:rsidRPr="00627016">
      <w:rPr>
        <w:rFonts w:ascii="Arial" w:hAnsi="Arial" w:cs="Arial"/>
        <w:color w:val="808080" w:themeColor="background1" w:themeShade="80"/>
        <w:sz w:val="18"/>
        <w:szCs w:val="18"/>
      </w:rPr>
      <w:fldChar w:fldCharType="begin"/>
    </w:r>
    <w:r w:rsidRPr="00627016">
      <w:rPr>
        <w:rFonts w:ascii="Arial" w:hAnsi="Arial" w:cs="Arial"/>
        <w:color w:val="808080" w:themeColor="background1" w:themeShade="80"/>
        <w:sz w:val="18"/>
        <w:szCs w:val="18"/>
      </w:rPr>
      <w:instrText xml:space="preserve"> PAGE   \* MERGEFORMAT </w:instrText>
    </w:r>
    <w:r w:rsidRPr="00627016">
      <w:rPr>
        <w:rFonts w:ascii="Arial" w:hAnsi="Arial" w:cs="Arial"/>
        <w:color w:val="808080" w:themeColor="background1" w:themeShade="80"/>
        <w:sz w:val="18"/>
        <w:szCs w:val="18"/>
      </w:rPr>
      <w:fldChar w:fldCharType="separate"/>
    </w:r>
    <w:r w:rsidR="00F0361E">
      <w:rPr>
        <w:rFonts w:ascii="Arial" w:hAnsi="Arial" w:cs="Arial"/>
        <w:noProof/>
        <w:color w:val="808080" w:themeColor="background1" w:themeShade="80"/>
        <w:sz w:val="18"/>
        <w:szCs w:val="18"/>
      </w:rPr>
      <w:t>2</w:t>
    </w:r>
    <w:r w:rsidRPr="00627016">
      <w:rPr>
        <w:rFonts w:ascii="Arial" w:hAnsi="Arial" w:cs="Arial"/>
        <w:color w:val="808080" w:themeColor="background1" w:themeShade="80"/>
        <w:sz w:val="18"/>
        <w:szCs w:val="18"/>
      </w:rPr>
      <w:fldChar w:fldCharType="end"/>
    </w:r>
    <w:r>
      <w:rPr>
        <w:rFonts w:ascii="Arial" w:hAnsi="Arial"/>
        <w:color w:val="808080" w:themeColor="background1" w:themeShade="80"/>
        <w:sz w:val="18"/>
        <w:szCs w:val="18"/>
      </w:rPr>
      <w:t xml:space="preserve"> de </w:t>
    </w:r>
    <w:r w:rsidRPr="00627016">
      <w:rPr>
        <w:rFonts w:ascii="Arial" w:hAnsi="Arial" w:cs="Arial"/>
        <w:color w:val="808080" w:themeColor="background1" w:themeShade="80"/>
        <w:sz w:val="18"/>
        <w:szCs w:val="18"/>
      </w:rPr>
      <w:fldChar w:fldCharType="begin"/>
    </w:r>
    <w:r w:rsidRPr="00627016">
      <w:rPr>
        <w:rFonts w:ascii="Arial" w:hAnsi="Arial" w:cs="Arial"/>
        <w:color w:val="808080" w:themeColor="background1" w:themeShade="80"/>
        <w:sz w:val="18"/>
        <w:szCs w:val="18"/>
      </w:rPr>
      <w:instrText xml:space="preserve"> NUMPAGES   \* MERGEFORMAT </w:instrText>
    </w:r>
    <w:r w:rsidRPr="00627016">
      <w:rPr>
        <w:rFonts w:ascii="Arial" w:hAnsi="Arial" w:cs="Arial"/>
        <w:color w:val="808080" w:themeColor="background1" w:themeShade="80"/>
        <w:sz w:val="18"/>
        <w:szCs w:val="18"/>
      </w:rPr>
      <w:fldChar w:fldCharType="separate"/>
    </w:r>
    <w:r w:rsidR="00F0361E">
      <w:rPr>
        <w:rFonts w:ascii="Arial" w:hAnsi="Arial" w:cs="Arial"/>
        <w:noProof/>
        <w:color w:val="808080" w:themeColor="background1" w:themeShade="80"/>
        <w:sz w:val="18"/>
        <w:szCs w:val="18"/>
      </w:rPr>
      <w:t>5</w:t>
    </w:r>
    <w:r w:rsidRPr="00627016">
      <w:rPr>
        <w:rFonts w:ascii="Arial" w:hAnsi="Arial" w:cs="Arial"/>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E6639" w14:textId="77777777" w:rsidR="00D53CE4" w:rsidRDefault="00D53CE4" w:rsidP="007A12D7">
      <w:pPr>
        <w:spacing w:after="0" w:line="240" w:lineRule="auto"/>
      </w:pPr>
      <w:r>
        <w:separator/>
      </w:r>
    </w:p>
  </w:footnote>
  <w:footnote w:type="continuationSeparator" w:id="0">
    <w:p w14:paraId="52EEE3A6" w14:textId="77777777" w:rsidR="00D53CE4" w:rsidRDefault="00D53CE4" w:rsidP="007A1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CF8E" w14:textId="77777777" w:rsidR="0052287C" w:rsidRPr="00206001" w:rsidRDefault="008D246C" w:rsidP="006E7206">
    <w:pPr>
      <w:pStyle w:val="Header"/>
      <w:rPr>
        <w:rFonts w:asciiTheme="majorHAnsi" w:hAnsiTheme="majorHAnsi"/>
        <w:b/>
        <w:color w:val="FF0000"/>
        <w:sz w:val="24"/>
      </w:rPr>
    </w:pPr>
    <w:r>
      <w:rPr>
        <w:b/>
        <w:noProof/>
        <w:sz w:val="18"/>
        <w:szCs w:val="18"/>
        <w:lang w:eastAsia="fr-CA"/>
      </w:rPr>
      <w:drawing>
        <wp:inline distT="0" distB="0" distL="0" distR="0" wp14:anchorId="2553AFDD" wp14:editId="168E71CD">
          <wp:extent cx="1558290" cy="571500"/>
          <wp:effectExtent l="0" t="0" r="3810" b="0"/>
          <wp:docPr id="51" name="Picture 51" descr="Centre for Aging and Brain Health Innovation, Powered by Baycrest"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tetda\AppData\Local\Microsoft\Windows\Temporary Internet Files\Content.Outlook\7P0GF8J7\CABHI_logo_v10_FNL LOGO_outlines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E7522"/>
    <w:multiLevelType w:val="multilevel"/>
    <w:tmpl w:val="F04C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A6DFD"/>
    <w:multiLevelType w:val="hybridMultilevel"/>
    <w:tmpl w:val="B96C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10CC7"/>
    <w:multiLevelType w:val="multilevel"/>
    <w:tmpl w:val="9C1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E6937"/>
    <w:multiLevelType w:val="hybridMultilevel"/>
    <w:tmpl w:val="829E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E0C19"/>
    <w:multiLevelType w:val="multilevel"/>
    <w:tmpl w:val="76E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222002"/>
    <w:multiLevelType w:val="multilevel"/>
    <w:tmpl w:val="6B72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446AC"/>
    <w:multiLevelType w:val="hybridMultilevel"/>
    <w:tmpl w:val="DA24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9F"/>
    <w:rsid w:val="000B3424"/>
    <w:rsid w:val="000D3740"/>
    <w:rsid w:val="001B0787"/>
    <w:rsid w:val="001F3695"/>
    <w:rsid w:val="00206001"/>
    <w:rsid w:val="00215260"/>
    <w:rsid w:val="0024446C"/>
    <w:rsid w:val="0024687C"/>
    <w:rsid w:val="0027754A"/>
    <w:rsid w:val="002C5A6B"/>
    <w:rsid w:val="003A75A7"/>
    <w:rsid w:val="003D74AE"/>
    <w:rsid w:val="003E5915"/>
    <w:rsid w:val="00404F31"/>
    <w:rsid w:val="004255FF"/>
    <w:rsid w:val="004630AC"/>
    <w:rsid w:val="00472821"/>
    <w:rsid w:val="004E0CE1"/>
    <w:rsid w:val="0052287C"/>
    <w:rsid w:val="00544D29"/>
    <w:rsid w:val="00557BF1"/>
    <w:rsid w:val="005D5EC2"/>
    <w:rsid w:val="005E1970"/>
    <w:rsid w:val="00627016"/>
    <w:rsid w:val="006B1EC9"/>
    <w:rsid w:val="006E5F1A"/>
    <w:rsid w:val="006E6DCC"/>
    <w:rsid w:val="006E7206"/>
    <w:rsid w:val="00740111"/>
    <w:rsid w:val="0078382B"/>
    <w:rsid w:val="007838A2"/>
    <w:rsid w:val="007A12D7"/>
    <w:rsid w:val="007B03FD"/>
    <w:rsid w:val="007C4FF8"/>
    <w:rsid w:val="00801C63"/>
    <w:rsid w:val="008D1AEF"/>
    <w:rsid w:val="008D246C"/>
    <w:rsid w:val="008D3886"/>
    <w:rsid w:val="008D5365"/>
    <w:rsid w:val="00905E4D"/>
    <w:rsid w:val="00951306"/>
    <w:rsid w:val="00971036"/>
    <w:rsid w:val="0098449F"/>
    <w:rsid w:val="009B73D9"/>
    <w:rsid w:val="00A50DCF"/>
    <w:rsid w:val="00A65D10"/>
    <w:rsid w:val="00A97613"/>
    <w:rsid w:val="00AD2160"/>
    <w:rsid w:val="00B45E76"/>
    <w:rsid w:val="00BE37B9"/>
    <w:rsid w:val="00C6646B"/>
    <w:rsid w:val="00CF42D3"/>
    <w:rsid w:val="00D004EB"/>
    <w:rsid w:val="00D53CE4"/>
    <w:rsid w:val="00DB3671"/>
    <w:rsid w:val="00DB3A78"/>
    <w:rsid w:val="00E45445"/>
    <w:rsid w:val="00E6209F"/>
    <w:rsid w:val="00E83CE7"/>
    <w:rsid w:val="00EA4370"/>
    <w:rsid w:val="00F0361E"/>
    <w:rsid w:val="00F17D96"/>
    <w:rsid w:val="00F2516B"/>
    <w:rsid w:val="00F54FB2"/>
    <w:rsid w:val="00F57240"/>
    <w:rsid w:val="00F61312"/>
    <w:rsid w:val="00FC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E99F5"/>
  <w15:docId w15:val="{60D78E20-5335-4BEB-B742-3B13CD50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7B9"/>
    <w:pPr>
      <w:keepNext/>
      <w:keepLines/>
      <w:spacing w:before="360" w:after="12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449F"/>
    <w:rPr>
      <w:b/>
      <w:bCs/>
    </w:rPr>
  </w:style>
  <w:style w:type="paragraph" w:styleId="NormalWeb">
    <w:name w:val="Normal (Web)"/>
    <w:basedOn w:val="Normal"/>
    <w:uiPriority w:val="99"/>
    <w:unhideWhenUsed/>
    <w:rsid w:val="00984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449F"/>
  </w:style>
  <w:style w:type="character" w:styleId="Hyperlink">
    <w:name w:val="Hyperlink"/>
    <w:basedOn w:val="DefaultParagraphFont"/>
    <w:uiPriority w:val="99"/>
    <w:unhideWhenUsed/>
    <w:rsid w:val="0098449F"/>
    <w:rPr>
      <w:color w:val="0000FF"/>
      <w:u w:val="single"/>
    </w:rPr>
  </w:style>
  <w:style w:type="paragraph" w:styleId="Header">
    <w:name w:val="header"/>
    <w:basedOn w:val="Normal"/>
    <w:link w:val="HeaderChar"/>
    <w:uiPriority w:val="99"/>
    <w:unhideWhenUsed/>
    <w:rsid w:val="007A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D7"/>
  </w:style>
  <w:style w:type="paragraph" w:styleId="Footer">
    <w:name w:val="footer"/>
    <w:basedOn w:val="Normal"/>
    <w:link w:val="FooterChar"/>
    <w:uiPriority w:val="99"/>
    <w:unhideWhenUsed/>
    <w:rsid w:val="007A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D7"/>
  </w:style>
  <w:style w:type="paragraph" w:styleId="BalloonText">
    <w:name w:val="Balloon Text"/>
    <w:basedOn w:val="Normal"/>
    <w:link w:val="BalloonTextChar"/>
    <w:uiPriority w:val="99"/>
    <w:semiHidden/>
    <w:unhideWhenUsed/>
    <w:rsid w:val="007A1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2D7"/>
    <w:rPr>
      <w:rFonts w:ascii="Tahoma" w:hAnsi="Tahoma" w:cs="Tahoma"/>
      <w:sz w:val="16"/>
      <w:szCs w:val="16"/>
    </w:rPr>
  </w:style>
  <w:style w:type="table" w:styleId="TableGrid">
    <w:name w:val="Table Grid"/>
    <w:basedOn w:val="TableNormal"/>
    <w:uiPriority w:val="59"/>
    <w:rsid w:val="007A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306"/>
    <w:pPr>
      <w:ind w:left="720"/>
      <w:contextualSpacing/>
    </w:pPr>
  </w:style>
  <w:style w:type="character" w:styleId="CommentReference">
    <w:name w:val="annotation reference"/>
    <w:basedOn w:val="DefaultParagraphFont"/>
    <w:uiPriority w:val="99"/>
    <w:semiHidden/>
    <w:unhideWhenUsed/>
    <w:rsid w:val="006E7206"/>
    <w:rPr>
      <w:sz w:val="16"/>
      <w:szCs w:val="16"/>
    </w:rPr>
  </w:style>
  <w:style w:type="paragraph" w:styleId="CommentText">
    <w:name w:val="annotation text"/>
    <w:basedOn w:val="Normal"/>
    <w:link w:val="CommentTextChar"/>
    <w:uiPriority w:val="99"/>
    <w:semiHidden/>
    <w:unhideWhenUsed/>
    <w:rsid w:val="006E7206"/>
    <w:pPr>
      <w:spacing w:line="240" w:lineRule="auto"/>
    </w:pPr>
    <w:rPr>
      <w:sz w:val="20"/>
      <w:szCs w:val="20"/>
    </w:rPr>
  </w:style>
  <w:style w:type="character" w:customStyle="1" w:styleId="CommentTextChar">
    <w:name w:val="Comment Text Char"/>
    <w:basedOn w:val="DefaultParagraphFont"/>
    <w:link w:val="CommentText"/>
    <w:uiPriority w:val="99"/>
    <w:semiHidden/>
    <w:rsid w:val="006E7206"/>
    <w:rPr>
      <w:sz w:val="20"/>
      <w:szCs w:val="20"/>
    </w:rPr>
  </w:style>
  <w:style w:type="paragraph" w:styleId="CommentSubject">
    <w:name w:val="annotation subject"/>
    <w:basedOn w:val="CommentText"/>
    <w:next w:val="CommentText"/>
    <w:link w:val="CommentSubjectChar"/>
    <w:uiPriority w:val="99"/>
    <w:semiHidden/>
    <w:unhideWhenUsed/>
    <w:rsid w:val="006E7206"/>
    <w:rPr>
      <w:b/>
      <w:bCs/>
    </w:rPr>
  </w:style>
  <w:style w:type="character" w:customStyle="1" w:styleId="CommentSubjectChar">
    <w:name w:val="Comment Subject Char"/>
    <w:basedOn w:val="CommentTextChar"/>
    <w:link w:val="CommentSubject"/>
    <w:uiPriority w:val="99"/>
    <w:semiHidden/>
    <w:rsid w:val="006E7206"/>
    <w:rPr>
      <w:b/>
      <w:bCs/>
      <w:sz w:val="20"/>
      <w:szCs w:val="20"/>
    </w:rPr>
  </w:style>
  <w:style w:type="paragraph" w:styleId="Title">
    <w:name w:val="Title"/>
    <w:basedOn w:val="Normal"/>
    <w:next w:val="Normal"/>
    <w:link w:val="TitleChar"/>
    <w:uiPriority w:val="10"/>
    <w:qFormat/>
    <w:rsid w:val="006B1EC9"/>
    <w:pPr>
      <w:spacing w:before="120" w:after="120" w:line="240" w:lineRule="auto"/>
      <w:contextualSpacing/>
      <w:jc w:val="center"/>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6B1EC9"/>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E83CE7"/>
    <w:pPr>
      <w:numPr>
        <w:ilvl w:val="1"/>
      </w:numPr>
      <w:spacing w:before="120" w:after="280" w:line="240" w:lineRule="auto"/>
      <w:jc w:val="center"/>
    </w:pPr>
    <w:rPr>
      <w:rFonts w:ascii="Arial" w:eastAsiaTheme="minorEastAsia" w:hAnsi="Arial"/>
      <w:b/>
      <w:spacing w:val="15"/>
      <w:sz w:val="28"/>
    </w:rPr>
  </w:style>
  <w:style w:type="character" w:customStyle="1" w:styleId="SubtitleChar">
    <w:name w:val="Subtitle Char"/>
    <w:basedOn w:val="DefaultParagraphFont"/>
    <w:link w:val="Subtitle"/>
    <w:uiPriority w:val="11"/>
    <w:rsid w:val="00E83CE7"/>
    <w:rPr>
      <w:rFonts w:ascii="Arial" w:eastAsiaTheme="minorEastAsia" w:hAnsi="Arial"/>
      <w:b/>
      <w:spacing w:val="15"/>
      <w:sz w:val="28"/>
    </w:rPr>
  </w:style>
  <w:style w:type="character" w:customStyle="1" w:styleId="Heading1Char">
    <w:name w:val="Heading 1 Char"/>
    <w:basedOn w:val="DefaultParagraphFont"/>
    <w:link w:val="Heading1"/>
    <w:uiPriority w:val="9"/>
    <w:rsid w:val="00BE37B9"/>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523966">
      <w:bodyDiv w:val="1"/>
      <w:marLeft w:val="0"/>
      <w:marRight w:val="0"/>
      <w:marTop w:val="0"/>
      <w:marBottom w:val="0"/>
      <w:divBdr>
        <w:top w:val="none" w:sz="0" w:space="0" w:color="auto"/>
        <w:left w:val="none" w:sz="0" w:space="0" w:color="auto"/>
        <w:bottom w:val="none" w:sz="0" w:space="0" w:color="auto"/>
        <w:right w:val="none" w:sz="0" w:space="0" w:color="auto"/>
      </w:divBdr>
    </w:div>
    <w:div w:id="15100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bh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FF9D-8369-4823-92E9-FE365FD1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7629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Baycrest</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Webster, Ryan (2360)</dc:creator>
  <cp:lastModifiedBy>Arielle Zomer</cp:lastModifiedBy>
  <cp:revision>2</cp:revision>
  <cp:lastPrinted>2018-02-05T18:03:00Z</cp:lastPrinted>
  <dcterms:created xsi:type="dcterms:W3CDTF">2018-02-14T16:46:00Z</dcterms:created>
  <dcterms:modified xsi:type="dcterms:W3CDTF">2018-02-14T16:46:00Z</dcterms:modified>
</cp:coreProperties>
</file>