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B2DDDB" w14:textId="77777777" w:rsidR="0034497E" w:rsidRPr="001F47E8" w:rsidRDefault="0034497E" w:rsidP="0034497E">
      <w:pPr>
        <w:pStyle w:val="Titre"/>
        <w:spacing w:before="0" w:after="0"/>
        <w:rPr>
          <w:rFonts w:eastAsia="Times New Roman" w:cs="Times New Roman"/>
          <w:b w:val="0"/>
          <w:sz w:val="22"/>
          <w:szCs w:val="22"/>
          <w:lang w:val="fr-CA"/>
        </w:rPr>
      </w:pPr>
      <w:r w:rsidRPr="001F47E8">
        <w:rPr>
          <w:rFonts w:eastAsia="Times New Roman" w:cs="Times New Roman"/>
          <w:sz w:val="28"/>
          <w:szCs w:val="28"/>
          <w:lang w:val="fr-CA"/>
        </w:rPr>
        <w:t>Appel à projets sur les inn</w:t>
      </w:r>
      <w:r w:rsidR="001F47E8" w:rsidRPr="001F47E8">
        <w:rPr>
          <w:rFonts w:eastAsia="Times New Roman" w:cs="Times New Roman"/>
          <w:sz w:val="28"/>
          <w:szCs w:val="28"/>
          <w:lang w:val="fr-CA"/>
        </w:rPr>
        <w:t>ovations du CABHI</w:t>
      </w:r>
      <w:r w:rsidR="001F47E8" w:rsidRPr="001F47E8">
        <w:rPr>
          <w:rFonts w:eastAsia="Times New Roman" w:cs="Times New Roman"/>
          <w:sz w:val="28"/>
          <w:szCs w:val="28"/>
          <w:lang w:val="fr-CA"/>
        </w:rPr>
        <w:br/>
        <w:t>Politique d'éligibilité des dépenses</w:t>
      </w:r>
      <w:r w:rsidRPr="001F47E8">
        <w:rPr>
          <w:rFonts w:eastAsia="Times New Roman" w:cs="Times New Roman"/>
          <w:sz w:val="28"/>
          <w:szCs w:val="28"/>
          <w:lang w:val="fr-CA"/>
        </w:rPr>
        <w:br/>
      </w:r>
      <w:r w:rsidRPr="001F47E8">
        <w:rPr>
          <w:rFonts w:eastAsia="Times New Roman" w:cs="Times New Roman"/>
          <w:b w:val="0"/>
          <w:sz w:val="22"/>
          <w:szCs w:val="22"/>
          <w:lang w:val="fr-CA"/>
        </w:rPr>
        <w:br/>
      </w:r>
      <w:r w:rsidRPr="001F47E8">
        <w:rPr>
          <w:rFonts w:eastAsia="Times New Roman" w:cs="Times New Roman"/>
          <w:b w:val="0"/>
          <w:sz w:val="22"/>
          <w:szCs w:val="22"/>
          <w:lang w:val="fr-CA"/>
        </w:rPr>
        <w:br/>
      </w:r>
    </w:p>
    <w:p w14:paraId="74F60C86" w14:textId="77777777" w:rsidR="0034497E" w:rsidRPr="001F47E8" w:rsidRDefault="0034497E" w:rsidP="0034497E">
      <w:pPr>
        <w:pStyle w:val="Titre"/>
        <w:spacing w:before="0" w:after="0"/>
        <w:jc w:val="left"/>
        <w:rPr>
          <w:rFonts w:eastAsia="Times New Roman" w:cs="Times New Roman"/>
          <w:sz w:val="22"/>
          <w:szCs w:val="22"/>
          <w:lang w:val="fr-CA"/>
        </w:rPr>
      </w:pPr>
      <w:r w:rsidRPr="001F47E8">
        <w:rPr>
          <w:rFonts w:eastAsia="Times New Roman" w:cs="Times New Roman"/>
          <w:sz w:val="22"/>
          <w:szCs w:val="22"/>
          <w:lang w:val="fr-CA"/>
        </w:rPr>
        <w:t>GÉNÉRALITÉS :</w:t>
      </w:r>
    </w:p>
    <w:p w14:paraId="1E4B5529" w14:textId="77777777" w:rsidR="00933DE0" w:rsidRPr="001F47E8" w:rsidRDefault="00933DE0" w:rsidP="00933DE0">
      <w:pPr>
        <w:spacing w:after="0" w:line="240" w:lineRule="auto"/>
        <w:jc w:val="center"/>
        <w:rPr>
          <w:rFonts w:ascii="Arial" w:hAnsi="Arial" w:cs="Arial"/>
          <w:b/>
          <w:bCs/>
          <w:color w:val="E36C0A" w:themeColor="accent6" w:themeShade="BF"/>
          <w:sz w:val="24"/>
          <w:lang w:val="fr-CA"/>
        </w:rPr>
      </w:pPr>
    </w:p>
    <w:p w14:paraId="4B0ECFB3" w14:textId="77777777" w:rsidR="002B0B92" w:rsidRPr="001F47E8" w:rsidRDefault="002B0B92" w:rsidP="002B0B92">
      <w:pPr>
        <w:spacing w:after="0" w:line="240" w:lineRule="auto"/>
        <w:rPr>
          <w:rFonts w:ascii="Arial" w:hAnsi="Arial" w:cs="Arial"/>
          <w:lang w:val="fr-CA"/>
        </w:rPr>
      </w:pPr>
    </w:p>
    <w:p w14:paraId="1242DCA6" w14:textId="77777777" w:rsidR="002B0B92" w:rsidRDefault="001F47E8" w:rsidP="002B0B92">
      <w:pPr>
        <w:spacing w:after="0" w:line="240" w:lineRule="auto"/>
        <w:rPr>
          <w:rFonts w:eastAsia="Times New Roman" w:cs="Times New Roman"/>
          <w:lang w:val="fr-CA"/>
        </w:rPr>
      </w:pPr>
      <w:r w:rsidRPr="001F47E8">
        <w:rPr>
          <w:rFonts w:eastAsia="Times New Roman" w:cs="Times New Roman"/>
          <w:lang w:val="fr-CA"/>
        </w:rPr>
        <w:t>1. Tous les fonds doivent être utilisés de façon efficace et économique et être administrés conformément à la gestion éthique des fonds publics.</w:t>
      </w:r>
      <w:r w:rsidRPr="001F47E8">
        <w:rPr>
          <w:rFonts w:eastAsia="Times New Roman" w:cs="Times New Roman"/>
          <w:lang w:val="fr-CA"/>
        </w:rPr>
        <w:br/>
      </w:r>
      <w:r w:rsidRPr="001F47E8">
        <w:rPr>
          <w:rFonts w:eastAsia="Times New Roman" w:cs="Times New Roman"/>
          <w:lang w:val="fr-CA"/>
        </w:rPr>
        <w:br/>
        <w:t>2. Les fonds doivent contribuer aux coûts directs du projet pour lequel ils ont été attribués, et les bénéfices devraient être directement attribuables au projet.</w:t>
      </w:r>
      <w:r w:rsidRPr="001F47E8">
        <w:rPr>
          <w:rFonts w:eastAsia="Times New Roman" w:cs="Times New Roman"/>
          <w:lang w:val="fr-CA"/>
        </w:rPr>
        <w:br/>
      </w:r>
      <w:r w:rsidRPr="001F47E8">
        <w:rPr>
          <w:rFonts w:eastAsia="Times New Roman" w:cs="Times New Roman"/>
          <w:lang w:val="fr-CA"/>
        </w:rPr>
        <w:br/>
        <w:t xml:space="preserve">3. L'affectation du personnel existant ou des dépenses de fonctionnement au projet </w:t>
      </w:r>
      <w:proofErr w:type="gramStart"/>
      <w:r w:rsidRPr="001F47E8">
        <w:rPr>
          <w:rFonts w:eastAsia="Times New Roman" w:cs="Times New Roman"/>
          <w:lang w:val="fr-CA"/>
        </w:rPr>
        <w:t>ne sont pas des dépenses admissibles</w:t>
      </w:r>
      <w:r>
        <w:rPr>
          <w:rFonts w:eastAsia="Times New Roman" w:cs="Times New Roman"/>
          <w:lang w:val="fr-CA"/>
        </w:rPr>
        <w:t xml:space="preserve"> sauf si elles sont</w:t>
      </w:r>
      <w:r w:rsidRPr="001F47E8">
        <w:rPr>
          <w:rFonts w:eastAsia="Times New Roman" w:cs="Times New Roman"/>
          <w:lang w:val="fr-CA"/>
        </w:rPr>
        <w:t xml:space="preserve"> clairement identi</w:t>
      </w:r>
      <w:r>
        <w:rPr>
          <w:rFonts w:eastAsia="Times New Roman" w:cs="Times New Roman"/>
          <w:lang w:val="fr-CA"/>
        </w:rPr>
        <w:t>fiables et imputables au projet.</w:t>
      </w:r>
      <w:proofErr w:type="gramEnd"/>
      <w:r w:rsidRPr="001F47E8">
        <w:rPr>
          <w:rFonts w:eastAsia="Times New Roman" w:cs="Times New Roman"/>
          <w:lang w:val="fr-CA"/>
        </w:rPr>
        <w:br/>
      </w:r>
      <w:r w:rsidRPr="001F47E8">
        <w:rPr>
          <w:rFonts w:eastAsia="Times New Roman" w:cs="Times New Roman"/>
          <w:lang w:val="fr-CA"/>
        </w:rPr>
        <w:br/>
        <w:t>4. L'</w:t>
      </w:r>
      <w:r>
        <w:rPr>
          <w:rFonts w:eastAsia="Times New Roman" w:cs="Times New Roman"/>
          <w:lang w:val="fr-CA"/>
        </w:rPr>
        <w:t>institutio</w:t>
      </w:r>
      <w:r w:rsidRPr="001F47E8">
        <w:rPr>
          <w:rFonts w:eastAsia="Times New Roman" w:cs="Times New Roman"/>
          <w:lang w:val="fr-CA"/>
        </w:rPr>
        <w:t>n hôte prend en charge les coûts indirects ou généraux, tels que les coûts liés à la fourniture d'équipements et de services publics, l'achat et la réparation de matériel de bureau, les frais administratifs, l'assurance et la fourniture de moyens de communication de base</w:t>
      </w:r>
      <w:r>
        <w:rPr>
          <w:rFonts w:eastAsia="Times New Roman" w:cs="Times New Roman"/>
          <w:lang w:val="fr-CA"/>
        </w:rPr>
        <w:t>, tels que téléphones, t</w:t>
      </w:r>
      <w:r w:rsidRPr="001F47E8">
        <w:rPr>
          <w:rFonts w:eastAsia="Times New Roman" w:cs="Times New Roman"/>
          <w:lang w:val="fr-CA"/>
        </w:rPr>
        <w:t>élécopieurs</w:t>
      </w:r>
      <w:r>
        <w:rPr>
          <w:rFonts w:eastAsia="Times New Roman" w:cs="Times New Roman"/>
          <w:lang w:val="fr-CA"/>
        </w:rPr>
        <w:t xml:space="preserve"> et ordinateurs</w:t>
      </w:r>
      <w:r w:rsidRPr="001F47E8">
        <w:rPr>
          <w:rFonts w:eastAsia="Times New Roman" w:cs="Times New Roman"/>
          <w:lang w:val="fr-CA"/>
        </w:rPr>
        <w:t xml:space="preserve">. Les coûts indirects ou généraux correspondent aux dépenses courantes liées à l'exploitation d'une </w:t>
      </w:r>
      <w:r>
        <w:rPr>
          <w:rFonts w:eastAsia="Times New Roman" w:cs="Times New Roman"/>
          <w:lang w:val="fr-CA"/>
        </w:rPr>
        <w:t>institution</w:t>
      </w:r>
      <w:r w:rsidRPr="001F47E8">
        <w:rPr>
          <w:rFonts w:eastAsia="Times New Roman" w:cs="Times New Roman"/>
          <w:lang w:val="fr-CA"/>
        </w:rPr>
        <w:t xml:space="preserve"> hôte et ne peuvent être associés aux coûts directs du projet pour lequel les fonds ont été attribués.</w:t>
      </w:r>
      <w:r w:rsidRPr="001F47E8">
        <w:rPr>
          <w:rFonts w:eastAsia="Times New Roman" w:cs="Times New Roman"/>
          <w:lang w:val="fr-CA"/>
        </w:rPr>
        <w:br/>
      </w:r>
      <w:r w:rsidRPr="001F47E8">
        <w:rPr>
          <w:rFonts w:eastAsia="Times New Roman" w:cs="Times New Roman"/>
          <w:lang w:val="fr-CA"/>
        </w:rPr>
        <w:br/>
        <w:t xml:space="preserve">5. Tous les déplacements doivent toujours être effectués par la méthode la plus pratique et la plus économique. Lorsque l'air est la méthode la plus pratique et la plus économique, seul le coût d'un vol en classe économique sera payé avec les fonds fournis. Tous les voyages doivent être approuvés au préalable par écrit par </w:t>
      </w:r>
      <w:r>
        <w:rPr>
          <w:rFonts w:eastAsia="Times New Roman" w:cs="Times New Roman"/>
          <w:lang w:val="fr-CA"/>
        </w:rPr>
        <w:t xml:space="preserve">le </w:t>
      </w:r>
      <w:r w:rsidRPr="001F47E8">
        <w:rPr>
          <w:rFonts w:eastAsia="Times New Roman" w:cs="Times New Roman"/>
          <w:lang w:val="fr-CA"/>
        </w:rPr>
        <w:t xml:space="preserve">CABHI, une telle approbation peut être accordée conformément à un plan de déplacement du projet soumis par le bénéficiaire ou reflété </w:t>
      </w:r>
      <w:r>
        <w:rPr>
          <w:rFonts w:eastAsia="Times New Roman" w:cs="Times New Roman"/>
          <w:lang w:val="fr-CA"/>
        </w:rPr>
        <w:t>dans la charte finale du projet.</w:t>
      </w:r>
      <w:r w:rsidRPr="001F47E8">
        <w:rPr>
          <w:rFonts w:eastAsia="Times New Roman" w:cs="Times New Roman"/>
          <w:lang w:val="fr-CA"/>
        </w:rPr>
        <w:br/>
      </w:r>
      <w:r w:rsidRPr="001F47E8">
        <w:rPr>
          <w:rFonts w:eastAsia="Times New Roman" w:cs="Times New Roman"/>
          <w:lang w:val="fr-CA"/>
        </w:rPr>
        <w:br/>
        <w:t>6. L'équipement requis pour soutenir le projet ne peut dépasser 20</w:t>
      </w:r>
      <w:r>
        <w:rPr>
          <w:rFonts w:eastAsia="Times New Roman" w:cs="Times New Roman"/>
          <w:lang w:val="fr-CA"/>
        </w:rPr>
        <w:t> </w:t>
      </w:r>
      <w:r w:rsidRPr="001F47E8">
        <w:rPr>
          <w:rFonts w:eastAsia="Times New Roman" w:cs="Times New Roman"/>
          <w:lang w:val="fr-CA"/>
        </w:rPr>
        <w:t>% des coûts totaux du projet.</w:t>
      </w:r>
      <w:r w:rsidRPr="001F47E8">
        <w:rPr>
          <w:rFonts w:eastAsia="Times New Roman" w:cs="Times New Roman"/>
          <w:lang w:val="fr-CA"/>
        </w:rPr>
        <w:br/>
      </w:r>
      <w:r w:rsidRPr="001F47E8">
        <w:rPr>
          <w:rFonts w:eastAsia="Times New Roman" w:cs="Times New Roman"/>
          <w:lang w:val="fr-CA"/>
        </w:rPr>
        <w:br/>
        <w:t xml:space="preserve">7. La préparation du site, le travail de pré-développement ou les essais de préparation du produit ne </w:t>
      </w:r>
      <w:proofErr w:type="gramStart"/>
      <w:r w:rsidRPr="001F47E8">
        <w:rPr>
          <w:rFonts w:eastAsia="Times New Roman" w:cs="Times New Roman"/>
          <w:lang w:val="fr-CA"/>
        </w:rPr>
        <w:t>peuvent</w:t>
      </w:r>
      <w:proofErr w:type="gramEnd"/>
      <w:r w:rsidRPr="001F47E8">
        <w:rPr>
          <w:rFonts w:eastAsia="Times New Roman" w:cs="Times New Roman"/>
          <w:lang w:val="fr-CA"/>
        </w:rPr>
        <w:t xml:space="preserve"> dépasser 20</w:t>
      </w:r>
      <w:r>
        <w:rPr>
          <w:rFonts w:eastAsia="Times New Roman" w:cs="Times New Roman"/>
          <w:lang w:val="fr-CA"/>
        </w:rPr>
        <w:t> % des coûts totaux du projet.</w:t>
      </w:r>
      <w:r w:rsidRPr="001F47E8">
        <w:rPr>
          <w:rFonts w:eastAsia="Times New Roman" w:cs="Times New Roman"/>
          <w:lang w:val="fr-CA"/>
        </w:rPr>
        <w:br/>
      </w:r>
      <w:r w:rsidRPr="001F47E8">
        <w:rPr>
          <w:rFonts w:eastAsia="Times New Roman" w:cs="Times New Roman"/>
          <w:lang w:val="fr-CA"/>
        </w:rPr>
        <w:br/>
        <w:t xml:space="preserve">8. Le bénéficiaire doit </w:t>
      </w:r>
      <w:r>
        <w:rPr>
          <w:rFonts w:eastAsia="Times New Roman" w:cs="Times New Roman"/>
          <w:lang w:val="fr-CA"/>
        </w:rPr>
        <w:t>réaliser et</w:t>
      </w:r>
      <w:r w:rsidRPr="001F47E8">
        <w:rPr>
          <w:rFonts w:eastAsia="Times New Roman" w:cs="Times New Roman"/>
          <w:lang w:val="fr-CA"/>
        </w:rPr>
        <w:t xml:space="preserve"> tenir à jour tous les dossiers financiers (y compris les factures détaillées) et tous les a</w:t>
      </w:r>
      <w:r>
        <w:rPr>
          <w:rFonts w:eastAsia="Times New Roman" w:cs="Times New Roman"/>
          <w:lang w:val="fr-CA"/>
        </w:rPr>
        <w:t>utres documents et dossiers non-</w:t>
      </w:r>
      <w:r w:rsidRPr="001F47E8">
        <w:rPr>
          <w:rFonts w:eastAsia="Times New Roman" w:cs="Times New Roman"/>
          <w:lang w:val="fr-CA"/>
        </w:rPr>
        <w:t>financiers relatifs au projet d'une manière conforme aux principes c</w:t>
      </w:r>
      <w:r>
        <w:rPr>
          <w:rFonts w:eastAsia="Times New Roman" w:cs="Times New Roman"/>
          <w:lang w:val="fr-CA"/>
        </w:rPr>
        <w:t>omptables généralement reconnus.</w:t>
      </w:r>
      <w:r w:rsidRPr="001F47E8">
        <w:rPr>
          <w:rFonts w:eastAsia="Times New Roman" w:cs="Times New Roman"/>
          <w:lang w:val="fr-CA"/>
        </w:rPr>
        <w:br/>
      </w:r>
      <w:r w:rsidRPr="001F47E8">
        <w:rPr>
          <w:rFonts w:eastAsia="Times New Roman" w:cs="Times New Roman"/>
          <w:lang w:val="fr-CA"/>
        </w:rPr>
        <w:br/>
        <w:t xml:space="preserve">9. </w:t>
      </w:r>
      <w:r>
        <w:rPr>
          <w:rFonts w:eastAsia="Times New Roman" w:cs="Times New Roman"/>
          <w:lang w:val="fr-CA"/>
        </w:rPr>
        <w:t>En dernier lieu, le CABHI décidera de</w:t>
      </w:r>
      <w:r w:rsidRPr="001F47E8">
        <w:rPr>
          <w:rFonts w:eastAsia="Times New Roman" w:cs="Times New Roman"/>
          <w:lang w:val="fr-CA"/>
        </w:rPr>
        <w:t xml:space="preserve"> l'admissibilité des dépenses.</w:t>
      </w:r>
    </w:p>
    <w:p w14:paraId="2A177EE2" w14:textId="77777777" w:rsidR="001F47E8" w:rsidRPr="001F47E8" w:rsidRDefault="001F47E8" w:rsidP="002B0B92">
      <w:pPr>
        <w:spacing w:after="0" w:line="240" w:lineRule="auto"/>
        <w:rPr>
          <w:rFonts w:ascii="Arial" w:hAnsi="Arial" w:cs="Arial"/>
          <w:lang w:val="fr-CA"/>
        </w:rPr>
      </w:pPr>
    </w:p>
    <w:p w14:paraId="626B6EE1" w14:textId="77777777" w:rsidR="00245866" w:rsidRPr="001F47E8" w:rsidRDefault="001F47E8">
      <w:pPr>
        <w:rPr>
          <w:rFonts w:ascii="Arial" w:hAnsi="Arial" w:cs="Arial"/>
          <w:sz w:val="20"/>
          <w:lang w:val="fr-CA"/>
        </w:rPr>
      </w:pPr>
      <w:r w:rsidRPr="001F47E8">
        <w:rPr>
          <w:rFonts w:eastAsia="Times New Roman" w:cs="Times New Roman"/>
          <w:lang w:val="fr-CA"/>
        </w:rPr>
        <w:t xml:space="preserve">Pour tout complément d'information, veuillez contacter le CABHI à </w:t>
      </w:r>
      <w:hyperlink r:id="rId9" w:history="1">
        <w:r w:rsidRPr="001F47E8">
          <w:rPr>
            <w:rStyle w:val="Lienhypertexte"/>
            <w:rFonts w:eastAsia="Times New Roman" w:cs="Times New Roman"/>
            <w:lang w:val="fr-CA"/>
          </w:rPr>
          <w:t>info@cabhi.com</w:t>
        </w:r>
      </w:hyperlink>
      <w:r w:rsidRPr="001F47E8">
        <w:rPr>
          <w:rFonts w:eastAsia="Times New Roman" w:cs="Times New Roman"/>
          <w:lang w:val="fr-CA"/>
        </w:rPr>
        <w:t>.</w:t>
      </w:r>
      <w:r w:rsidRPr="001F47E8">
        <w:rPr>
          <w:rFonts w:eastAsia="Times New Roman" w:cs="Times New Roman"/>
          <w:lang w:val="fr-CA"/>
        </w:rPr>
        <w:br/>
      </w:r>
      <w:r w:rsidR="00245866" w:rsidRPr="001F47E8">
        <w:rPr>
          <w:rFonts w:ascii="Arial" w:hAnsi="Arial" w:cs="Arial"/>
          <w:sz w:val="20"/>
          <w:lang w:val="fr-CA"/>
        </w:rPr>
        <w:br w:type="page"/>
      </w:r>
    </w:p>
    <w:p w14:paraId="20DF582A" w14:textId="77777777" w:rsidR="00F90E3E" w:rsidRDefault="00F90E3E" w:rsidP="004E75D0">
      <w:pPr>
        <w:pStyle w:val="Titre1"/>
        <w:spacing w:after="180"/>
        <w:rPr>
          <w:lang w:val="fr-CA"/>
        </w:rPr>
      </w:pPr>
    </w:p>
    <w:p w14:paraId="4E899237" w14:textId="77777777" w:rsidR="002B0B92" w:rsidRPr="001F47E8" w:rsidRDefault="001F47E8" w:rsidP="004E75D0">
      <w:pPr>
        <w:pStyle w:val="Titre1"/>
        <w:spacing w:after="180"/>
        <w:rPr>
          <w:lang w:val="fr-CA"/>
        </w:rPr>
      </w:pPr>
      <w:r w:rsidRPr="001F47E8">
        <w:rPr>
          <w:lang w:val="fr-CA"/>
        </w:rPr>
        <w:t>DÉPENSES ÉLIGIBLES</w:t>
      </w:r>
    </w:p>
    <w:p w14:paraId="0EBB3814" w14:textId="77777777" w:rsidR="003D4EF8" w:rsidRPr="001F47E8" w:rsidRDefault="001F47E8" w:rsidP="001F47E8">
      <w:pPr>
        <w:spacing w:after="0"/>
        <w:rPr>
          <w:rFonts w:ascii="Arial" w:hAnsi="Arial" w:cs="Arial"/>
          <w:sz w:val="20"/>
          <w:szCs w:val="20"/>
          <w:lang w:val="fr-CA"/>
        </w:rPr>
      </w:pPr>
      <w:r w:rsidRPr="001F47E8">
        <w:rPr>
          <w:rFonts w:ascii="Arial" w:eastAsia="Times New Roman" w:hAnsi="Arial" w:cs="Arial"/>
          <w:sz w:val="20"/>
          <w:szCs w:val="20"/>
          <w:lang w:val="fr-CA"/>
        </w:rPr>
        <w:t>Les coûts réels doivent être directement attribuables et nécessaires à l</w:t>
      </w:r>
      <w:r w:rsidR="00ED776A">
        <w:rPr>
          <w:rFonts w:ascii="Arial" w:eastAsia="Times New Roman" w:hAnsi="Arial" w:cs="Arial"/>
          <w:sz w:val="20"/>
          <w:szCs w:val="20"/>
          <w:lang w:val="fr-CA"/>
        </w:rPr>
        <w:t>a réalisation</w:t>
      </w:r>
      <w:r w:rsidRPr="001F47E8">
        <w:rPr>
          <w:rFonts w:ascii="Arial" w:eastAsia="Times New Roman" w:hAnsi="Arial" w:cs="Arial"/>
          <w:sz w:val="20"/>
          <w:szCs w:val="20"/>
          <w:lang w:val="fr-CA"/>
        </w:rPr>
        <w:t xml:space="preserve"> du projet. Les dépenses de projet réclamées doivent représenter une augmentation additionnelle des dépenses d'exploitation normales du bénéficiaire, toute affectation de dépenses d'exploitation indirectes existantes au projet n'étant pas une dépense admissible. Le bénéficiaire doit utiliser les fonds uniquement pour les catégories de dépenses admissibles suivantes, à con</w:t>
      </w:r>
      <w:r w:rsidR="00ED776A">
        <w:rPr>
          <w:rFonts w:ascii="Arial" w:eastAsia="Times New Roman" w:hAnsi="Arial" w:cs="Arial"/>
          <w:sz w:val="20"/>
          <w:szCs w:val="20"/>
          <w:lang w:val="fr-CA"/>
        </w:rPr>
        <w:t xml:space="preserve">dition qu'elles rejoignent les étapes-clés </w:t>
      </w:r>
      <w:r w:rsidRPr="001F47E8">
        <w:rPr>
          <w:rFonts w:ascii="Arial" w:eastAsia="Times New Roman" w:hAnsi="Arial" w:cs="Arial"/>
          <w:sz w:val="20"/>
          <w:szCs w:val="20"/>
          <w:lang w:val="fr-CA"/>
        </w:rPr>
        <w:t>et les livrables, sous réserve des limites et conditions suivantes</w:t>
      </w:r>
      <w:r w:rsidR="00ED776A">
        <w:rPr>
          <w:rFonts w:ascii="Arial" w:eastAsia="Times New Roman" w:hAnsi="Arial" w:cs="Arial"/>
          <w:sz w:val="20"/>
          <w:szCs w:val="20"/>
          <w:lang w:val="fr-CA"/>
        </w:rPr>
        <w:t xml:space="preserve"> </w:t>
      </w:r>
      <w:r w:rsidRPr="001F47E8">
        <w:rPr>
          <w:rFonts w:ascii="Arial" w:eastAsia="Times New Roman" w:hAnsi="Arial" w:cs="Arial"/>
          <w:sz w:val="20"/>
          <w:szCs w:val="20"/>
          <w:lang w:val="fr-CA"/>
        </w:rPr>
        <w:t>:</w:t>
      </w:r>
    </w:p>
    <w:p w14:paraId="3F63008D" w14:textId="77777777" w:rsidR="001F47E8" w:rsidRDefault="001F47E8" w:rsidP="001F47E8">
      <w:pPr>
        <w:pStyle w:val="Titre2"/>
        <w:spacing w:before="0" w:after="180"/>
        <w:rPr>
          <w:lang w:val="fr-CA"/>
        </w:rPr>
      </w:pPr>
    </w:p>
    <w:p w14:paraId="3345F71C" w14:textId="77777777" w:rsidR="00F90E3E" w:rsidRPr="00F90E3E" w:rsidRDefault="00F90E3E" w:rsidP="00F90E3E"/>
    <w:p w14:paraId="5418FE48" w14:textId="77777777" w:rsidR="002B0B92" w:rsidRPr="001F47E8" w:rsidRDefault="00ED776A" w:rsidP="004E75D0">
      <w:pPr>
        <w:pStyle w:val="Titre2"/>
        <w:spacing w:before="0" w:after="180"/>
        <w:rPr>
          <w:lang w:val="fr-CA"/>
        </w:rPr>
      </w:pPr>
      <w:r>
        <w:rPr>
          <w:lang w:val="fr-CA"/>
        </w:rPr>
        <w:t>SALAIRES &amp; AVANTAGES</w:t>
      </w:r>
    </w:p>
    <w:tbl>
      <w:tblPr>
        <w:tblStyle w:val="Grille"/>
        <w:tblW w:w="0" w:type="auto"/>
        <w:tblLook w:val="0420" w:firstRow="1" w:lastRow="0" w:firstColumn="0" w:lastColumn="0" w:noHBand="0" w:noVBand="1"/>
        <w:tblDescription w:val="This table outlines Eligible and Ineligible Salary and Benefit expenses. "/>
      </w:tblPr>
      <w:tblGrid>
        <w:gridCol w:w="5138"/>
        <w:gridCol w:w="5076"/>
      </w:tblGrid>
      <w:tr w:rsidR="002B0B92" w:rsidRPr="001F47E8" w14:paraId="3AD01BA2" w14:textId="77777777" w:rsidTr="00B40816">
        <w:trPr>
          <w:trHeight w:val="467"/>
        </w:trPr>
        <w:tc>
          <w:tcPr>
            <w:tcW w:w="5138" w:type="dxa"/>
            <w:shd w:val="solid" w:color="1F497D" w:themeColor="text2" w:fill="17365D" w:themeFill="text2" w:themeFillShade="BF"/>
            <w:vAlign w:val="center"/>
          </w:tcPr>
          <w:p w14:paraId="5DE000EC" w14:textId="77777777" w:rsidR="002B0B92" w:rsidRPr="001F47E8" w:rsidRDefault="00ED776A" w:rsidP="00403DE5">
            <w:pPr>
              <w:jc w:val="center"/>
              <w:rPr>
                <w:rFonts w:ascii="Arial" w:hAnsi="Arial" w:cs="Arial"/>
                <w:b/>
                <w:color w:val="FFFFFF" w:themeColor="background1"/>
                <w:sz w:val="18"/>
                <w:szCs w:val="20"/>
                <w:lang w:val="fr-CA"/>
              </w:rPr>
            </w:pPr>
            <w:r>
              <w:rPr>
                <w:rFonts w:ascii="Arial" w:hAnsi="Arial" w:cs="Arial"/>
                <w:b/>
                <w:color w:val="FFFFFF" w:themeColor="background1"/>
                <w:sz w:val="18"/>
                <w:szCs w:val="20"/>
                <w:lang w:val="fr-CA"/>
              </w:rPr>
              <w:t>DÉPENSES ÉLIGIBLES</w:t>
            </w:r>
          </w:p>
        </w:tc>
        <w:tc>
          <w:tcPr>
            <w:tcW w:w="5076" w:type="dxa"/>
            <w:shd w:val="solid" w:color="1F497D" w:themeColor="text2" w:fill="17365D" w:themeFill="text2" w:themeFillShade="BF"/>
            <w:vAlign w:val="center"/>
          </w:tcPr>
          <w:p w14:paraId="759045BB" w14:textId="77777777" w:rsidR="002B0B92" w:rsidRPr="001F47E8" w:rsidRDefault="00ED776A" w:rsidP="00403DE5">
            <w:pPr>
              <w:jc w:val="center"/>
              <w:rPr>
                <w:rFonts w:ascii="Arial" w:hAnsi="Arial" w:cs="Arial"/>
                <w:b/>
                <w:color w:val="FFFFFF" w:themeColor="background1"/>
                <w:sz w:val="18"/>
                <w:szCs w:val="20"/>
                <w:lang w:val="fr-CA"/>
              </w:rPr>
            </w:pPr>
            <w:r>
              <w:rPr>
                <w:rFonts w:ascii="Arial" w:hAnsi="Arial" w:cs="Arial"/>
                <w:b/>
                <w:color w:val="FFFFFF" w:themeColor="background1"/>
                <w:sz w:val="18"/>
                <w:szCs w:val="20"/>
                <w:lang w:val="fr-CA"/>
              </w:rPr>
              <w:t>DÉPENSES NON-ÉLIGIBLES</w:t>
            </w:r>
          </w:p>
        </w:tc>
      </w:tr>
      <w:tr w:rsidR="002B0B92" w:rsidRPr="00ED776A" w14:paraId="3C647A1C" w14:textId="77777777" w:rsidTr="00B40816">
        <w:tc>
          <w:tcPr>
            <w:tcW w:w="5138" w:type="dxa"/>
          </w:tcPr>
          <w:p w14:paraId="5CC0E3B3" w14:textId="77777777" w:rsidR="002B0B92" w:rsidRPr="00ED776A" w:rsidRDefault="002B0B92" w:rsidP="009139DA">
            <w:pPr>
              <w:spacing w:line="276" w:lineRule="auto"/>
              <w:rPr>
                <w:rFonts w:ascii="Arial" w:hAnsi="Arial" w:cs="Arial"/>
                <w:sz w:val="18"/>
                <w:lang w:val="fr-CA"/>
              </w:rPr>
            </w:pPr>
          </w:p>
          <w:p w14:paraId="6EEC3FAA" w14:textId="77777777" w:rsidR="002B0B92" w:rsidRPr="00ED776A" w:rsidRDefault="00ED776A" w:rsidP="009139DA">
            <w:pPr>
              <w:spacing w:line="276" w:lineRule="auto"/>
              <w:rPr>
                <w:rFonts w:ascii="Arial" w:hAnsi="Arial" w:cs="Arial"/>
                <w:sz w:val="18"/>
                <w:szCs w:val="18"/>
                <w:lang w:val="fr-CA"/>
              </w:rPr>
            </w:pPr>
            <w:r w:rsidRPr="00ED776A">
              <w:rPr>
                <w:rFonts w:ascii="Arial" w:eastAsia="Times New Roman" w:hAnsi="Arial" w:cs="Arial"/>
                <w:sz w:val="18"/>
                <w:szCs w:val="18"/>
                <w:lang w:val="fr-CA"/>
              </w:rPr>
              <w:t>• Salaires et avantages sociaux du personnel ou du personnel d'autres organisations détach</w:t>
            </w:r>
            <w:r>
              <w:rPr>
                <w:rFonts w:ascii="Arial" w:eastAsia="Times New Roman" w:hAnsi="Arial" w:cs="Arial"/>
                <w:sz w:val="18"/>
                <w:szCs w:val="18"/>
                <w:lang w:val="fr-CA"/>
              </w:rPr>
              <w:t>és pour réaliser le Projet et/</w:t>
            </w:r>
            <w:r w:rsidRPr="00ED776A">
              <w:rPr>
                <w:rFonts w:ascii="Arial" w:eastAsia="Times New Roman" w:hAnsi="Arial" w:cs="Arial"/>
                <w:sz w:val="18"/>
                <w:szCs w:val="18"/>
                <w:lang w:val="fr-CA"/>
              </w:rPr>
              <w:t>ou du nouveau personnel, permanent ou temp</w:t>
            </w:r>
            <w:r>
              <w:rPr>
                <w:rFonts w:ascii="Arial" w:eastAsia="Times New Roman" w:hAnsi="Arial" w:cs="Arial"/>
                <w:sz w:val="18"/>
                <w:szCs w:val="18"/>
                <w:lang w:val="fr-CA"/>
              </w:rPr>
              <w:t>oraire engagé pour réaliser le p</w:t>
            </w:r>
            <w:r w:rsidRPr="00ED776A">
              <w:rPr>
                <w:rFonts w:ascii="Arial" w:eastAsia="Times New Roman" w:hAnsi="Arial" w:cs="Arial"/>
                <w:sz w:val="18"/>
                <w:szCs w:val="18"/>
                <w:lang w:val="fr-CA"/>
              </w:rPr>
              <w:t>rojet, y compris les honoraires versés aux personnes engagées dans des contrats de travail. Cela comprend le coût du remplacement ou du remblayage du personnel clinique ou de première ligne affecté à l'exécutio</w:t>
            </w:r>
            <w:r>
              <w:rPr>
                <w:rFonts w:ascii="Arial" w:eastAsia="Times New Roman" w:hAnsi="Arial" w:cs="Arial"/>
                <w:sz w:val="18"/>
                <w:szCs w:val="18"/>
                <w:lang w:val="fr-CA"/>
              </w:rPr>
              <w:t>n du projet sur le site de l'étude.</w:t>
            </w:r>
            <w:r w:rsidRPr="00ED776A">
              <w:rPr>
                <w:rFonts w:ascii="Arial" w:eastAsia="Times New Roman" w:hAnsi="Arial" w:cs="Arial"/>
                <w:sz w:val="18"/>
                <w:szCs w:val="18"/>
                <w:lang w:val="fr-CA"/>
              </w:rPr>
              <w:br/>
            </w:r>
            <w:r w:rsidRPr="00ED776A">
              <w:rPr>
                <w:rFonts w:ascii="Arial" w:eastAsia="Times New Roman" w:hAnsi="Arial" w:cs="Arial"/>
                <w:sz w:val="18"/>
                <w:szCs w:val="18"/>
                <w:lang w:val="fr-CA"/>
              </w:rPr>
              <w:br/>
              <w:t>• Les dépenses en salaires, traitements et avantages sociaux ne peuvent être réclamées qu'au prorata du temps passé à travailler directement sur le projet et que le promoteur est tenu de tenir des feuilles de temps ou des registres appropriés pour tous les employés travaillant directement sur le projet.</w:t>
            </w:r>
            <w:r w:rsidRPr="00ED776A">
              <w:rPr>
                <w:rFonts w:ascii="Arial" w:eastAsia="Times New Roman" w:hAnsi="Arial" w:cs="Arial"/>
                <w:sz w:val="18"/>
                <w:szCs w:val="18"/>
                <w:lang w:val="fr-CA"/>
              </w:rPr>
              <w:br/>
            </w:r>
            <w:r w:rsidRPr="00ED776A">
              <w:rPr>
                <w:rFonts w:ascii="Arial" w:eastAsia="Times New Roman" w:hAnsi="Arial" w:cs="Arial"/>
                <w:sz w:val="18"/>
                <w:szCs w:val="18"/>
                <w:lang w:val="fr-CA"/>
              </w:rPr>
              <w:br/>
              <w:t>• Il est entendu que seuls les salaires, les avantages sociaux et les honoraires d'entrepreneur qui ne sont pas financés par des fonds provenant d'autres subventions provinciales ou fédérales sont admissibles.</w:t>
            </w:r>
          </w:p>
        </w:tc>
        <w:tc>
          <w:tcPr>
            <w:tcW w:w="5076" w:type="dxa"/>
          </w:tcPr>
          <w:p w14:paraId="78533D56" w14:textId="77777777" w:rsidR="002B0B92" w:rsidRPr="00ED776A" w:rsidRDefault="002B0B92" w:rsidP="009139DA">
            <w:pPr>
              <w:pStyle w:val="Paragraphedeliste"/>
              <w:spacing w:line="276" w:lineRule="auto"/>
              <w:jc w:val="both"/>
              <w:rPr>
                <w:rFonts w:ascii="Arial" w:hAnsi="Arial" w:cs="Arial"/>
                <w:sz w:val="18"/>
                <w:lang w:val="fr-CA"/>
              </w:rPr>
            </w:pPr>
          </w:p>
          <w:p w14:paraId="2C6511B1" w14:textId="77777777" w:rsidR="002B0B92" w:rsidRPr="00ED776A" w:rsidRDefault="00ED776A" w:rsidP="00ED776A">
            <w:pPr>
              <w:rPr>
                <w:rFonts w:ascii="Arial" w:hAnsi="Arial" w:cs="Arial"/>
                <w:sz w:val="18"/>
                <w:szCs w:val="18"/>
                <w:lang w:val="fr-CA"/>
              </w:rPr>
            </w:pPr>
            <w:r w:rsidRPr="00ED776A">
              <w:rPr>
                <w:rFonts w:ascii="Arial" w:eastAsia="Times New Roman" w:hAnsi="Arial" w:cs="Arial"/>
                <w:sz w:val="18"/>
                <w:szCs w:val="18"/>
                <w:lang w:val="fr-CA"/>
              </w:rPr>
              <w:t>• Paiements aux chefs de projet, aux co</w:t>
            </w:r>
            <w:r>
              <w:rPr>
                <w:rFonts w:ascii="Arial" w:eastAsia="Times New Roman" w:hAnsi="Arial" w:cs="Arial"/>
                <w:sz w:val="18"/>
                <w:szCs w:val="18"/>
                <w:lang w:val="fr-CA"/>
              </w:rPr>
              <w:t>-demandeurs et/</w:t>
            </w:r>
            <w:r w:rsidRPr="00ED776A">
              <w:rPr>
                <w:rFonts w:ascii="Arial" w:eastAsia="Times New Roman" w:hAnsi="Arial" w:cs="Arial"/>
                <w:sz w:val="18"/>
                <w:szCs w:val="18"/>
                <w:lang w:val="fr-CA"/>
              </w:rPr>
              <w:t>ou aux collaborateurs sous forme de frais de consultation ou d'honoraires (au-delà du salaire normal de la personne).</w:t>
            </w:r>
            <w:r w:rsidRPr="00ED776A">
              <w:rPr>
                <w:rFonts w:ascii="Arial" w:eastAsia="Times New Roman" w:hAnsi="Arial" w:cs="Arial"/>
                <w:sz w:val="18"/>
                <w:szCs w:val="18"/>
                <w:lang w:val="fr-CA"/>
              </w:rPr>
              <w:br/>
            </w:r>
            <w:r w:rsidRPr="00ED776A">
              <w:rPr>
                <w:rFonts w:ascii="Arial" w:eastAsia="Times New Roman" w:hAnsi="Arial" w:cs="Arial"/>
                <w:sz w:val="18"/>
                <w:szCs w:val="18"/>
                <w:lang w:val="fr-CA"/>
              </w:rPr>
              <w:br/>
              <w:t>• Salaires versés à des taux de consultation ou supérieurs à la juste valeur marchande dans le secteur sans but lucratif.</w:t>
            </w:r>
            <w:r w:rsidRPr="00ED776A">
              <w:rPr>
                <w:rFonts w:ascii="Arial" w:eastAsia="Times New Roman" w:hAnsi="Arial" w:cs="Arial"/>
                <w:sz w:val="18"/>
                <w:szCs w:val="18"/>
                <w:lang w:val="fr-CA"/>
              </w:rPr>
              <w:br/>
            </w:r>
            <w:r w:rsidRPr="00ED776A">
              <w:rPr>
                <w:rFonts w:ascii="Arial" w:eastAsia="Times New Roman" w:hAnsi="Arial" w:cs="Arial"/>
                <w:sz w:val="18"/>
                <w:szCs w:val="18"/>
                <w:lang w:val="fr-CA"/>
              </w:rPr>
              <w:br/>
              <w:t>• Coûts liés au développement de la proposition.</w:t>
            </w:r>
          </w:p>
        </w:tc>
      </w:tr>
    </w:tbl>
    <w:p w14:paraId="75AD5099" w14:textId="77777777" w:rsidR="003174F0" w:rsidRDefault="003174F0" w:rsidP="00395C9D">
      <w:pPr>
        <w:pStyle w:val="Titre2"/>
        <w:rPr>
          <w:lang w:val="fr-CA"/>
        </w:rPr>
      </w:pPr>
    </w:p>
    <w:p w14:paraId="1E25BB53" w14:textId="77777777" w:rsidR="00F90E3E" w:rsidRPr="00F90E3E" w:rsidRDefault="00F90E3E" w:rsidP="00F90E3E"/>
    <w:p w14:paraId="14F9E1EA" w14:textId="77777777" w:rsidR="002B0B92" w:rsidRPr="001F47E8" w:rsidRDefault="00ED776A" w:rsidP="004E75D0">
      <w:pPr>
        <w:pStyle w:val="Titre2"/>
        <w:spacing w:before="0" w:after="180"/>
        <w:rPr>
          <w:lang w:val="fr-CA"/>
        </w:rPr>
      </w:pPr>
      <w:r>
        <w:rPr>
          <w:lang w:val="fr-CA"/>
        </w:rPr>
        <w:t>COÛTS INDIRECTS ET FRAIS</w:t>
      </w:r>
    </w:p>
    <w:tbl>
      <w:tblPr>
        <w:tblStyle w:val="Grille"/>
        <w:tblW w:w="0" w:type="auto"/>
        <w:shd w:val="solid" w:color="C00000" w:fill="auto"/>
        <w:tblLook w:val="0420" w:firstRow="1" w:lastRow="0" w:firstColumn="0" w:lastColumn="0" w:noHBand="0" w:noVBand="1"/>
        <w:tblDescription w:val="All Indirect Costs and Overhead are Ineligible expenses. "/>
      </w:tblPr>
      <w:tblGrid>
        <w:gridCol w:w="10440"/>
      </w:tblGrid>
      <w:tr w:rsidR="002B0B92" w:rsidRPr="001F47E8" w14:paraId="6622353B" w14:textId="77777777" w:rsidTr="00B40816">
        <w:trPr>
          <w:trHeight w:val="431"/>
        </w:trPr>
        <w:tc>
          <w:tcPr>
            <w:tcW w:w="13896" w:type="dxa"/>
            <w:shd w:val="solid" w:color="C00000" w:fill="auto"/>
            <w:vAlign w:val="center"/>
          </w:tcPr>
          <w:p w14:paraId="515C89E0" w14:textId="77777777" w:rsidR="002B0B92" w:rsidRPr="001F47E8" w:rsidRDefault="00ED776A" w:rsidP="00245866">
            <w:pPr>
              <w:pStyle w:val="Paragraphedeliste"/>
              <w:numPr>
                <w:ilvl w:val="0"/>
                <w:numId w:val="13"/>
              </w:numPr>
              <w:rPr>
                <w:rFonts w:ascii="Arial" w:hAnsi="Arial" w:cs="Arial"/>
                <w:b/>
                <w:color w:val="C00000"/>
                <w:sz w:val="20"/>
                <w:lang w:val="fr-CA"/>
              </w:rPr>
            </w:pPr>
            <w:r>
              <w:rPr>
                <w:rFonts w:ascii="Arial" w:hAnsi="Arial" w:cs="Arial"/>
                <w:b/>
                <w:color w:val="FFFFFF" w:themeColor="background1"/>
                <w:sz w:val="18"/>
                <w:lang w:val="fr-CA"/>
              </w:rPr>
              <w:t>NON-ÉLIGIBLE</w:t>
            </w:r>
          </w:p>
        </w:tc>
      </w:tr>
    </w:tbl>
    <w:p w14:paraId="496116FD" w14:textId="77777777" w:rsidR="003174F0" w:rsidRDefault="003174F0" w:rsidP="003174F0">
      <w:pPr>
        <w:pStyle w:val="Titre2"/>
        <w:rPr>
          <w:lang w:val="fr-CA"/>
        </w:rPr>
      </w:pPr>
    </w:p>
    <w:p w14:paraId="2CBBB9BC" w14:textId="77777777" w:rsidR="00ED776A" w:rsidRDefault="00ED776A" w:rsidP="00ED776A"/>
    <w:p w14:paraId="38D12243" w14:textId="77777777" w:rsidR="00ED776A" w:rsidRDefault="00ED776A" w:rsidP="00ED776A"/>
    <w:p w14:paraId="4A1C2A53" w14:textId="77777777" w:rsidR="00ED776A" w:rsidRDefault="00ED776A" w:rsidP="00ED776A"/>
    <w:p w14:paraId="57395CC4" w14:textId="77777777" w:rsidR="002B0B92" w:rsidRPr="001F47E8" w:rsidRDefault="00ED776A" w:rsidP="004E75D0">
      <w:pPr>
        <w:pStyle w:val="Titre2"/>
        <w:spacing w:before="0" w:after="180"/>
        <w:rPr>
          <w:lang w:val="fr-CA"/>
        </w:rPr>
      </w:pPr>
      <w:r>
        <w:rPr>
          <w:lang w:val="fr-CA"/>
        </w:rPr>
        <w:t>VOYAGES ET SÉJOURS</w:t>
      </w:r>
    </w:p>
    <w:tbl>
      <w:tblPr>
        <w:tblStyle w:val="Grille"/>
        <w:tblW w:w="0" w:type="auto"/>
        <w:tblLook w:val="0420" w:firstRow="1" w:lastRow="0" w:firstColumn="0" w:lastColumn="0" w:noHBand="0" w:noVBand="1"/>
        <w:tblDescription w:val="This table outlines Eligible and Ineligible Salary and Benefit expenses. "/>
      </w:tblPr>
      <w:tblGrid>
        <w:gridCol w:w="5105"/>
        <w:gridCol w:w="33"/>
        <w:gridCol w:w="5076"/>
      </w:tblGrid>
      <w:tr w:rsidR="00ED776A" w:rsidRPr="001F47E8" w14:paraId="688591CE" w14:textId="77777777" w:rsidTr="00ED776A">
        <w:trPr>
          <w:trHeight w:val="467"/>
        </w:trPr>
        <w:tc>
          <w:tcPr>
            <w:tcW w:w="5138" w:type="dxa"/>
            <w:gridSpan w:val="2"/>
            <w:shd w:val="solid" w:color="1F497D" w:themeColor="text2" w:fill="17365D" w:themeFill="text2" w:themeFillShade="BF"/>
            <w:vAlign w:val="center"/>
          </w:tcPr>
          <w:p w14:paraId="4EA8A378" w14:textId="77777777" w:rsidR="00ED776A" w:rsidRPr="001F47E8" w:rsidRDefault="00ED776A" w:rsidP="00ED776A">
            <w:pPr>
              <w:jc w:val="center"/>
              <w:rPr>
                <w:rFonts w:ascii="Arial" w:hAnsi="Arial" w:cs="Arial"/>
                <w:b/>
                <w:color w:val="FFFFFF" w:themeColor="background1"/>
                <w:sz w:val="18"/>
                <w:szCs w:val="20"/>
                <w:lang w:val="fr-CA"/>
              </w:rPr>
            </w:pPr>
            <w:r>
              <w:rPr>
                <w:rFonts w:ascii="Arial" w:hAnsi="Arial" w:cs="Arial"/>
                <w:b/>
                <w:color w:val="FFFFFF" w:themeColor="background1"/>
                <w:sz w:val="18"/>
                <w:szCs w:val="20"/>
                <w:lang w:val="fr-CA"/>
              </w:rPr>
              <w:t>DÉPENSES ÉLIGIBLES</w:t>
            </w:r>
          </w:p>
        </w:tc>
        <w:tc>
          <w:tcPr>
            <w:tcW w:w="5076" w:type="dxa"/>
            <w:shd w:val="solid" w:color="1F497D" w:themeColor="text2" w:fill="17365D" w:themeFill="text2" w:themeFillShade="BF"/>
            <w:vAlign w:val="center"/>
          </w:tcPr>
          <w:p w14:paraId="36940B62" w14:textId="77777777" w:rsidR="00ED776A" w:rsidRPr="001F47E8" w:rsidRDefault="00ED776A" w:rsidP="00ED776A">
            <w:pPr>
              <w:jc w:val="center"/>
              <w:rPr>
                <w:rFonts w:ascii="Arial" w:hAnsi="Arial" w:cs="Arial"/>
                <w:b/>
                <w:color w:val="FFFFFF" w:themeColor="background1"/>
                <w:sz w:val="18"/>
                <w:szCs w:val="20"/>
                <w:lang w:val="fr-CA"/>
              </w:rPr>
            </w:pPr>
            <w:r>
              <w:rPr>
                <w:rFonts w:ascii="Arial" w:hAnsi="Arial" w:cs="Arial"/>
                <w:b/>
                <w:color w:val="FFFFFF" w:themeColor="background1"/>
                <w:sz w:val="18"/>
                <w:szCs w:val="20"/>
                <w:lang w:val="fr-CA"/>
              </w:rPr>
              <w:t>DÉPENSES NON-ÉLIGIBLES</w:t>
            </w:r>
          </w:p>
        </w:tc>
      </w:tr>
      <w:tr w:rsidR="002B0B92" w:rsidRPr="00ED776A" w14:paraId="678FFE96" w14:textId="77777777" w:rsidTr="004E75D0">
        <w:trPr>
          <w:trHeight w:val="2708"/>
        </w:trPr>
        <w:tc>
          <w:tcPr>
            <w:tcW w:w="5105" w:type="dxa"/>
          </w:tcPr>
          <w:p w14:paraId="6737788E" w14:textId="77777777" w:rsidR="002B0B92" w:rsidRPr="00ED776A" w:rsidRDefault="002B0B92" w:rsidP="00ED776A">
            <w:pPr>
              <w:pStyle w:val="Paragraphedeliste"/>
              <w:spacing w:line="276" w:lineRule="auto"/>
              <w:ind w:left="180"/>
              <w:rPr>
                <w:rFonts w:ascii="Arial" w:hAnsi="Arial" w:cs="Arial"/>
                <w:sz w:val="18"/>
                <w:szCs w:val="18"/>
                <w:lang w:val="fr-CA"/>
              </w:rPr>
            </w:pPr>
            <w:bookmarkStart w:id="0" w:name="_Hlk505675910"/>
          </w:p>
          <w:p w14:paraId="5618CEEE" w14:textId="77777777" w:rsidR="004E75D0" w:rsidRDefault="00ED776A" w:rsidP="00ED776A">
            <w:pPr>
              <w:rPr>
                <w:rFonts w:ascii="Arial" w:eastAsia="Times New Roman" w:hAnsi="Arial" w:cs="Arial"/>
                <w:sz w:val="18"/>
                <w:szCs w:val="18"/>
                <w:lang w:val="fr-CA"/>
              </w:rPr>
            </w:pPr>
            <w:r w:rsidRPr="00ED776A">
              <w:rPr>
                <w:rFonts w:ascii="Arial" w:eastAsia="Times New Roman" w:hAnsi="Arial" w:cs="Arial"/>
                <w:sz w:val="18"/>
                <w:szCs w:val="18"/>
                <w:lang w:val="fr-CA"/>
              </w:rPr>
              <w:t>• Les frais de voyage et de séjour (repas et hébergement) comprennent les dépenses raisonnables pour le travail sur le terrain (si nécessaire) et les activités de diffusion. Les déplacements en auto</w:t>
            </w:r>
            <w:r>
              <w:rPr>
                <w:rFonts w:ascii="Arial" w:eastAsia="Times New Roman" w:hAnsi="Arial" w:cs="Arial"/>
                <w:sz w:val="18"/>
                <w:szCs w:val="18"/>
                <w:lang w:val="fr-CA"/>
              </w:rPr>
              <w:t>mobile seront remboursés à 0,48</w:t>
            </w:r>
            <w:r w:rsidRPr="00ED776A">
              <w:rPr>
                <w:rFonts w:ascii="Arial" w:eastAsia="Times New Roman" w:hAnsi="Arial" w:cs="Arial"/>
                <w:sz w:val="18"/>
                <w:szCs w:val="18"/>
                <w:lang w:val="fr-CA"/>
              </w:rPr>
              <w:t>$ le kilomèt</w:t>
            </w:r>
            <w:r>
              <w:rPr>
                <w:rFonts w:ascii="Arial" w:eastAsia="Times New Roman" w:hAnsi="Arial" w:cs="Arial"/>
                <w:sz w:val="18"/>
                <w:szCs w:val="18"/>
                <w:lang w:val="fr-CA"/>
              </w:rPr>
              <w:t>re. Les repas sont limités à 50</w:t>
            </w:r>
            <w:r w:rsidRPr="00ED776A">
              <w:rPr>
                <w:rFonts w:ascii="Arial" w:eastAsia="Times New Roman" w:hAnsi="Arial" w:cs="Arial"/>
                <w:sz w:val="18"/>
                <w:szCs w:val="18"/>
                <w:lang w:val="fr-CA"/>
              </w:rPr>
              <w:t>$ par jour et par personne. Les réclamations doivent être accompagnées de reçus détaillés.</w:t>
            </w:r>
            <w:r w:rsidRPr="00ED776A">
              <w:rPr>
                <w:rFonts w:ascii="Arial" w:eastAsia="Times New Roman" w:hAnsi="Arial" w:cs="Arial"/>
                <w:sz w:val="18"/>
                <w:szCs w:val="18"/>
                <w:lang w:val="fr-CA"/>
              </w:rPr>
              <w:br/>
            </w:r>
            <w:r w:rsidRPr="00ED776A">
              <w:rPr>
                <w:rFonts w:ascii="Arial" w:eastAsia="Times New Roman" w:hAnsi="Arial" w:cs="Arial"/>
                <w:sz w:val="18"/>
                <w:szCs w:val="18"/>
                <w:lang w:val="fr-CA"/>
              </w:rPr>
              <w:br/>
              <w:t xml:space="preserve">• Tous les déplacements doivent être pré-approuvés par écrit par </w:t>
            </w:r>
            <w:r>
              <w:rPr>
                <w:rFonts w:ascii="Arial" w:eastAsia="Times New Roman" w:hAnsi="Arial" w:cs="Arial"/>
                <w:sz w:val="18"/>
                <w:szCs w:val="18"/>
                <w:lang w:val="fr-CA"/>
              </w:rPr>
              <w:t xml:space="preserve">LE </w:t>
            </w:r>
            <w:r w:rsidRPr="00ED776A">
              <w:rPr>
                <w:rFonts w:ascii="Arial" w:eastAsia="Times New Roman" w:hAnsi="Arial" w:cs="Arial"/>
                <w:sz w:val="18"/>
                <w:szCs w:val="18"/>
                <w:lang w:val="fr-CA"/>
              </w:rPr>
              <w:t>CABHI; cette approbation peut être accordée conformément à un plan de déplacement du projet soumis par le bénéficiaire.</w:t>
            </w:r>
          </w:p>
          <w:p w14:paraId="10C75728" w14:textId="77777777" w:rsidR="00ED776A" w:rsidRPr="00ED776A" w:rsidRDefault="00ED776A" w:rsidP="00ED776A">
            <w:pPr>
              <w:rPr>
                <w:rFonts w:ascii="Arial" w:hAnsi="Arial" w:cs="Arial"/>
                <w:sz w:val="18"/>
                <w:szCs w:val="18"/>
                <w:lang w:val="fr-CA"/>
              </w:rPr>
            </w:pPr>
          </w:p>
        </w:tc>
        <w:tc>
          <w:tcPr>
            <w:tcW w:w="5109" w:type="dxa"/>
            <w:gridSpan w:val="2"/>
          </w:tcPr>
          <w:p w14:paraId="4A675313" w14:textId="77777777" w:rsidR="002B0B92" w:rsidRPr="00ED776A" w:rsidRDefault="002B0B92" w:rsidP="00ED776A">
            <w:pPr>
              <w:spacing w:line="276" w:lineRule="auto"/>
              <w:rPr>
                <w:rFonts w:ascii="Arial" w:hAnsi="Arial" w:cs="Arial"/>
                <w:sz w:val="18"/>
                <w:szCs w:val="18"/>
                <w:lang w:val="fr-CA"/>
              </w:rPr>
            </w:pPr>
          </w:p>
          <w:p w14:paraId="78EAECEB" w14:textId="77777777" w:rsidR="009139DA" w:rsidRPr="00ED776A" w:rsidRDefault="00ED776A" w:rsidP="00ED776A">
            <w:pPr>
              <w:rPr>
                <w:rFonts w:ascii="Arial" w:hAnsi="Arial" w:cs="Arial"/>
                <w:sz w:val="18"/>
                <w:szCs w:val="18"/>
                <w:lang w:val="fr-CA"/>
              </w:rPr>
            </w:pPr>
            <w:r>
              <w:rPr>
                <w:rFonts w:ascii="Arial" w:eastAsia="Times New Roman" w:hAnsi="Arial" w:cs="Arial"/>
                <w:sz w:val="18"/>
                <w:szCs w:val="18"/>
                <w:lang w:val="fr-CA"/>
              </w:rPr>
              <w:t>• A</w:t>
            </w:r>
            <w:r w:rsidRPr="00ED776A">
              <w:rPr>
                <w:rFonts w:ascii="Arial" w:eastAsia="Times New Roman" w:hAnsi="Arial" w:cs="Arial"/>
                <w:sz w:val="18"/>
                <w:szCs w:val="18"/>
                <w:lang w:val="fr-CA"/>
              </w:rPr>
              <w:t>lcool</w:t>
            </w:r>
            <w:r>
              <w:rPr>
                <w:rFonts w:ascii="Arial" w:eastAsia="Times New Roman" w:hAnsi="Arial" w:cs="Arial"/>
                <w:sz w:val="18"/>
                <w:szCs w:val="18"/>
                <w:lang w:val="fr-CA"/>
              </w:rPr>
              <w:t>s.</w:t>
            </w:r>
            <w:r w:rsidRPr="00ED776A">
              <w:rPr>
                <w:rFonts w:ascii="Arial" w:eastAsia="Times New Roman" w:hAnsi="Arial" w:cs="Arial"/>
                <w:sz w:val="18"/>
                <w:szCs w:val="18"/>
                <w:lang w:val="fr-CA"/>
              </w:rPr>
              <w:br/>
            </w:r>
            <w:r w:rsidRPr="00ED776A">
              <w:rPr>
                <w:rFonts w:ascii="Arial" w:eastAsia="Times New Roman" w:hAnsi="Arial" w:cs="Arial"/>
                <w:sz w:val="18"/>
                <w:szCs w:val="18"/>
                <w:lang w:val="fr-CA"/>
              </w:rPr>
              <w:br/>
              <w:t>• Dépenses al</w:t>
            </w:r>
            <w:r>
              <w:rPr>
                <w:rFonts w:ascii="Arial" w:eastAsia="Times New Roman" w:hAnsi="Arial" w:cs="Arial"/>
                <w:sz w:val="18"/>
                <w:szCs w:val="18"/>
                <w:lang w:val="fr-CA"/>
              </w:rPr>
              <w:t>imentaires et d'hébergement non-</w:t>
            </w:r>
            <w:r w:rsidRPr="00ED776A">
              <w:rPr>
                <w:rFonts w:ascii="Arial" w:eastAsia="Times New Roman" w:hAnsi="Arial" w:cs="Arial"/>
                <w:sz w:val="18"/>
                <w:szCs w:val="18"/>
                <w:lang w:val="fr-CA"/>
              </w:rPr>
              <w:t xml:space="preserve">liées </w:t>
            </w:r>
            <w:r>
              <w:rPr>
                <w:rFonts w:ascii="Arial" w:eastAsia="Times New Roman" w:hAnsi="Arial" w:cs="Arial"/>
                <w:sz w:val="18"/>
                <w:szCs w:val="18"/>
                <w:lang w:val="fr-CA"/>
              </w:rPr>
              <w:t>au</w:t>
            </w:r>
            <w:r w:rsidRPr="00ED776A">
              <w:rPr>
                <w:rFonts w:ascii="Arial" w:eastAsia="Times New Roman" w:hAnsi="Arial" w:cs="Arial"/>
                <w:sz w:val="18"/>
                <w:szCs w:val="18"/>
                <w:lang w:val="fr-CA"/>
              </w:rPr>
              <w:t xml:space="preserve"> projet.</w:t>
            </w:r>
            <w:r w:rsidRPr="00ED776A">
              <w:rPr>
                <w:rFonts w:ascii="Arial" w:eastAsia="Times New Roman" w:hAnsi="Arial" w:cs="Arial"/>
                <w:sz w:val="18"/>
                <w:szCs w:val="18"/>
                <w:lang w:val="fr-CA"/>
              </w:rPr>
              <w:br/>
            </w:r>
            <w:r w:rsidRPr="00ED776A">
              <w:rPr>
                <w:rFonts w:ascii="Arial" w:eastAsia="Times New Roman" w:hAnsi="Arial" w:cs="Arial"/>
                <w:sz w:val="18"/>
                <w:szCs w:val="18"/>
                <w:lang w:val="fr-CA"/>
              </w:rPr>
              <w:br/>
              <w:t>• Remboursemen</w:t>
            </w:r>
            <w:r>
              <w:rPr>
                <w:rFonts w:ascii="Arial" w:eastAsia="Times New Roman" w:hAnsi="Arial" w:cs="Arial"/>
                <w:sz w:val="18"/>
                <w:szCs w:val="18"/>
                <w:lang w:val="fr-CA"/>
              </w:rPr>
              <w:t xml:space="preserve">t de </w:t>
            </w:r>
            <w:r w:rsidRPr="00ED776A">
              <w:rPr>
                <w:rFonts w:ascii="Arial" w:eastAsia="Times New Roman" w:hAnsi="Arial" w:cs="Arial"/>
                <w:sz w:val="18"/>
                <w:szCs w:val="18"/>
                <w:lang w:val="fr-CA"/>
              </w:rPr>
              <w:t>billet</w:t>
            </w:r>
            <w:r>
              <w:rPr>
                <w:rFonts w:ascii="Arial" w:eastAsia="Times New Roman" w:hAnsi="Arial" w:cs="Arial"/>
                <w:sz w:val="18"/>
                <w:szCs w:val="18"/>
                <w:lang w:val="fr-CA"/>
              </w:rPr>
              <w:t>s</w:t>
            </w:r>
            <w:r w:rsidRPr="00ED776A">
              <w:rPr>
                <w:rFonts w:ascii="Arial" w:eastAsia="Times New Roman" w:hAnsi="Arial" w:cs="Arial"/>
                <w:sz w:val="18"/>
                <w:szCs w:val="18"/>
                <w:lang w:val="fr-CA"/>
              </w:rPr>
              <w:t xml:space="preserve"> d'avion acheté</w:t>
            </w:r>
            <w:r>
              <w:rPr>
                <w:rFonts w:ascii="Arial" w:eastAsia="Times New Roman" w:hAnsi="Arial" w:cs="Arial"/>
                <w:sz w:val="18"/>
                <w:szCs w:val="18"/>
                <w:lang w:val="fr-CA"/>
              </w:rPr>
              <w:t>s</w:t>
            </w:r>
            <w:r w:rsidRPr="00ED776A">
              <w:rPr>
                <w:rFonts w:ascii="Arial" w:eastAsia="Times New Roman" w:hAnsi="Arial" w:cs="Arial"/>
                <w:sz w:val="18"/>
                <w:szCs w:val="18"/>
                <w:lang w:val="fr-CA"/>
              </w:rPr>
              <w:t xml:space="preserve"> avec des programmes personnels de fidélisation.</w:t>
            </w:r>
            <w:r w:rsidRPr="00ED776A">
              <w:rPr>
                <w:rFonts w:ascii="Arial" w:eastAsia="Times New Roman" w:hAnsi="Arial" w:cs="Arial"/>
                <w:sz w:val="18"/>
                <w:szCs w:val="18"/>
                <w:lang w:val="fr-CA"/>
              </w:rPr>
              <w:br/>
            </w:r>
            <w:r w:rsidRPr="00ED776A">
              <w:rPr>
                <w:rFonts w:ascii="Arial" w:eastAsia="Times New Roman" w:hAnsi="Arial" w:cs="Arial"/>
                <w:sz w:val="18"/>
                <w:szCs w:val="18"/>
                <w:lang w:val="fr-CA"/>
              </w:rPr>
              <w:br/>
              <w:t xml:space="preserve">• </w:t>
            </w:r>
            <w:r>
              <w:rPr>
                <w:rFonts w:ascii="Arial" w:eastAsia="Times New Roman" w:hAnsi="Arial" w:cs="Arial"/>
                <w:sz w:val="18"/>
                <w:szCs w:val="18"/>
                <w:lang w:val="fr-CA"/>
              </w:rPr>
              <w:t>Les allers-retours entre résidence et</w:t>
            </w:r>
            <w:r w:rsidRPr="00ED776A">
              <w:rPr>
                <w:rFonts w:ascii="Arial" w:eastAsia="Times New Roman" w:hAnsi="Arial" w:cs="Arial"/>
                <w:sz w:val="18"/>
                <w:szCs w:val="18"/>
                <w:lang w:val="fr-CA"/>
              </w:rPr>
              <w:t xml:space="preserve"> lieu de travail.</w:t>
            </w:r>
          </w:p>
        </w:tc>
      </w:tr>
      <w:bookmarkEnd w:id="0"/>
    </w:tbl>
    <w:p w14:paraId="1A26AD37" w14:textId="77777777" w:rsidR="00ED776A" w:rsidRDefault="00ED776A" w:rsidP="004E75D0">
      <w:pPr>
        <w:pStyle w:val="Titre2"/>
        <w:spacing w:before="0" w:after="180"/>
        <w:rPr>
          <w:lang w:val="fr-CA"/>
        </w:rPr>
      </w:pPr>
    </w:p>
    <w:p w14:paraId="195C9708" w14:textId="77777777" w:rsidR="00F90E3E" w:rsidRPr="00F90E3E" w:rsidRDefault="00F90E3E" w:rsidP="00F90E3E">
      <w:bookmarkStart w:id="1" w:name="_GoBack"/>
      <w:bookmarkEnd w:id="1"/>
    </w:p>
    <w:p w14:paraId="58CFDFF6" w14:textId="77777777" w:rsidR="002B0B92" w:rsidRPr="001F47E8" w:rsidRDefault="00ED776A" w:rsidP="004E75D0">
      <w:pPr>
        <w:pStyle w:val="Titre2"/>
        <w:spacing w:before="0" w:after="180"/>
        <w:rPr>
          <w:lang w:val="fr-CA"/>
        </w:rPr>
      </w:pPr>
      <w:r>
        <w:rPr>
          <w:lang w:val="fr-CA"/>
        </w:rPr>
        <w:t>FRAIS D'EXPLOITATION</w:t>
      </w:r>
    </w:p>
    <w:tbl>
      <w:tblPr>
        <w:tblStyle w:val="Grille"/>
        <w:tblW w:w="0" w:type="auto"/>
        <w:tblLook w:val="0420" w:firstRow="1" w:lastRow="0" w:firstColumn="0" w:lastColumn="0" w:noHBand="0" w:noVBand="1"/>
        <w:tblDescription w:val="This table outlines Eligible and Ineligible Salary and Benefit expenses. "/>
      </w:tblPr>
      <w:tblGrid>
        <w:gridCol w:w="5124"/>
        <w:gridCol w:w="14"/>
        <w:gridCol w:w="5076"/>
      </w:tblGrid>
      <w:tr w:rsidR="00ED776A" w:rsidRPr="001F47E8" w14:paraId="75648214" w14:textId="77777777" w:rsidTr="00ED776A">
        <w:trPr>
          <w:trHeight w:val="467"/>
        </w:trPr>
        <w:tc>
          <w:tcPr>
            <w:tcW w:w="5138" w:type="dxa"/>
            <w:gridSpan w:val="2"/>
            <w:shd w:val="solid" w:color="1F497D" w:themeColor="text2" w:fill="17365D" w:themeFill="text2" w:themeFillShade="BF"/>
            <w:vAlign w:val="center"/>
          </w:tcPr>
          <w:p w14:paraId="39CFB70F" w14:textId="77777777" w:rsidR="00ED776A" w:rsidRPr="001F47E8" w:rsidRDefault="00ED776A" w:rsidP="00ED776A">
            <w:pPr>
              <w:jc w:val="center"/>
              <w:rPr>
                <w:rFonts w:ascii="Arial" w:hAnsi="Arial" w:cs="Arial"/>
                <w:b/>
                <w:color w:val="FFFFFF" w:themeColor="background1"/>
                <w:sz w:val="18"/>
                <w:szCs w:val="20"/>
                <w:lang w:val="fr-CA"/>
              </w:rPr>
            </w:pPr>
            <w:r>
              <w:rPr>
                <w:rFonts w:ascii="Arial" w:hAnsi="Arial" w:cs="Arial"/>
                <w:b/>
                <w:color w:val="FFFFFF" w:themeColor="background1"/>
                <w:sz w:val="18"/>
                <w:szCs w:val="20"/>
                <w:lang w:val="fr-CA"/>
              </w:rPr>
              <w:t>DÉPENSES ÉLIGIBLES</w:t>
            </w:r>
          </w:p>
        </w:tc>
        <w:tc>
          <w:tcPr>
            <w:tcW w:w="5076" w:type="dxa"/>
            <w:shd w:val="solid" w:color="1F497D" w:themeColor="text2" w:fill="17365D" w:themeFill="text2" w:themeFillShade="BF"/>
            <w:vAlign w:val="center"/>
          </w:tcPr>
          <w:p w14:paraId="70AE9A5B" w14:textId="77777777" w:rsidR="00ED776A" w:rsidRPr="001F47E8" w:rsidRDefault="00ED776A" w:rsidP="00ED776A">
            <w:pPr>
              <w:jc w:val="center"/>
              <w:rPr>
                <w:rFonts w:ascii="Arial" w:hAnsi="Arial" w:cs="Arial"/>
                <w:b/>
                <w:color w:val="FFFFFF" w:themeColor="background1"/>
                <w:sz w:val="18"/>
                <w:szCs w:val="20"/>
                <w:lang w:val="fr-CA"/>
              </w:rPr>
            </w:pPr>
            <w:r>
              <w:rPr>
                <w:rFonts w:ascii="Arial" w:hAnsi="Arial" w:cs="Arial"/>
                <w:b/>
                <w:color w:val="FFFFFF" w:themeColor="background1"/>
                <w:sz w:val="18"/>
                <w:szCs w:val="20"/>
                <w:lang w:val="fr-CA"/>
              </w:rPr>
              <w:t>DÉPENSES NON-ÉLIGIBLES</w:t>
            </w:r>
          </w:p>
        </w:tc>
      </w:tr>
      <w:tr w:rsidR="00933DE0" w:rsidRPr="00D55CC5" w14:paraId="2F993EB2" w14:textId="77777777" w:rsidTr="00B40816">
        <w:tc>
          <w:tcPr>
            <w:tcW w:w="5124" w:type="dxa"/>
            <w:shd w:val="clear" w:color="auto" w:fill="auto"/>
          </w:tcPr>
          <w:p w14:paraId="2BDF1E32" w14:textId="77777777" w:rsidR="00D55CC5" w:rsidRDefault="00D55CC5" w:rsidP="00D55CC5">
            <w:pPr>
              <w:rPr>
                <w:rFonts w:ascii="Arial" w:eastAsia="Times New Roman" w:hAnsi="Arial" w:cs="Arial"/>
                <w:sz w:val="18"/>
                <w:szCs w:val="18"/>
                <w:lang w:val="fr-CA"/>
              </w:rPr>
            </w:pPr>
          </w:p>
          <w:p w14:paraId="2996316B" w14:textId="6EE5C6DF" w:rsidR="00933DE0" w:rsidRPr="00D55CC5" w:rsidRDefault="00D55CC5" w:rsidP="00D55CC5">
            <w:pPr>
              <w:rPr>
                <w:rFonts w:ascii="Arial" w:hAnsi="Arial" w:cs="Arial"/>
                <w:sz w:val="18"/>
                <w:szCs w:val="18"/>
                <w:lang w:val="fr-CA"/>
              </w:rPr>
            </w:pPr>
            <w:r w:rsidRPr="00D55CC5">
              <w:rPr>
                <w:rFonts w:ascii="Arial" w:eastAsia="Times New Roman" w:hAnsi="Arial" w:cs="Arial"/>
                <w:sz w:val="18"/>
                <w:szCs w:val="18"/>
                <w:lang w:val="fr-CA"/>
              </w:rPr>
              <w:t>• Le c</w:t>
            </w:r>
            <w:r>
              <w:rPr>
                <w:rFonts w:ascii="Arial" w:eastAsia="Times New Roman" w:hAnsi="Arial" w:cs="Arial"/>
                <w:sz w:val="18"/>
                <w:szCs w:val="18"/>
                <w:lang w:val="fr-CA"/>
              </w:rPr>
              <w:t>oût des matériaux et fourniture</w:t>
            </w:r>
            <w:r w:rsidRPr="00D55CC5">
              <w:rPr>
                <w:rFonts w:ascii="Arial" w:eastAsia="Times New Roman" w:hAnsi="Arial" w:cs="Arial"/>
                <w:sz w:val="18"/>
                <w:szCs w:val="18"/>
                <w:lang w:val="fr-CA"/>
              </w:rPr>
              <w:t xml:space="preserve">, calculé au prorata pour la durée du projet, </w:t>
            </w:r>
            <w:r>
              <w:rPr>
                <w:rFonts w:ascii="Arial" w:eastAsia="Times New Roman" w:hAnsi="Arial" w:cs="Arial"/>
                <w:sz w:val="18"/>
                <w:szCs w:val="18"/>
                <w:lang w:val="fr-CA"/>
              </w:rPr>
              <w:t>pouvant être</w:t>
            </w:r>
            <w:r w:rsidRPr="00D55CC5">
              <w:rPr>
                <w:rFonts w:ascii="Arial" w:eastAsia="Times New Roman" w:hAnsi="Arial" w:cs="Arial"/>
                <w:sz w:val="18"/>
                <w:szCs w:val="18"/>
                <w:lang w:val="fr-CA"/>
              </w:rPr>
              <w:t xml:space="preserve"> spécifiquement identifié</w:t>
            </w:r>
            <w:r>
              <w:rPr>
                <w:rFonts w:ascii="Arial" w:eastAsia="Times New Roman" w:hAnsi="Arial" w:cs="Arial"/>
                <w:sz w:val="18"/>
                <w:szCs w:val="18"/>
                <w:lang w:val="fr-CA"/>
              </w:rPr>
              <w:t>s</w:t>
            </w:r>
            <w:r w:rsidRPr="00D55CC5">
              <w:rPr>
                <w:rFonts w:ascii="Arial" w:eastAsia="Times New Roman" w:hAnsi="Arial" w:cs="Arial"/>
                <w:sz w:val="18"/>
                <w:szCs w:val="18"/>
                <w:lang w:val="fr-CA"/>
              </w:rPr>
              <w:t xml:space="preserve"> et mesuré</w:t>
            </w:r>
            <w:r>
              <w:rPr>
                <w:rFonts w:ascii="Arial" w:eastAsia="Times New Roman" w:hAnsi="Arial" w:cs="Arial"/>
                <w:sz w:val="18"/>
                <w:szCs w:val="18"/>
                <w:lang w:val="fr-CA"/>
              </w:rPr>
              <w:t>s</w:t>
            </w:r>
            <w:r w:rsidRPr="00D55CC5">
              <w:rPr>
                <w:rFonts w:ascii="Arial" w:eastAsia="Times New Roman" w:hAnsi="Arial" w:cs="Arial"/>
                <w:sz w:val="18"/>
                <w:szCs w:val="18"/>
                <w:lang w:val="fr-CA"/>
              </w:rPr>
              <w:t xml:space="preserve"> comme ayant été utilisé</w:t>
            </w:r>
            <w:r>
              <w:rPr>
                <w:rFonts w:ascii="Arial" w:eastAsia="Times New Roman" w:hAnsi="Arial" w:cs="Arial"/>
                <w:sz w:val="18"/>
                <w:szCs w:val="18"/>
                <w:lang w:val="fr-CA"/>
              </w:rPr>
              <w:t>s</w:t>
            </w:r>
            <w:r w:rsidRPr="00D55CC5">
              <w:rPr>
                <w:rFonts w:ascii="Arial" w:eastAsia="Times New Roman" w:hAnsi="Arial" w:cs="Arial"/>
                <w:sz w:val="18"/>
                <w:szCs w:val="18"/>
                <w:lang w:val="fr-CA"/>
              </w:rPr>
              <w:t xml:space="preserve"> pour l'achèvement du projet.</w:t>
            </w:r>
            <w:r w:rsidRPr="00D55CC5">
              <w:rPr>
                <w:rFonts w:ascii="Arial" w:eastAsia="Times New Roman" w:hAnsi="Arial" w:cs="Arial"/>
                <w:sz w:val="18"/>
                <w:szCs w:val="18"/>
                <w:lang w:val="fr-CA"/>
              </w:rPr>
              <w:br/>
            </w:r>
            <w:r w:rsidRPr="00D55CC5">
              <w:rPr>
                <w:rFonts w:ascii="Arial" w:eastAsia="Times New Roman" w:hAnsi="Arial" w:cs="Arial"/>
                <w:sz w:val="18"/>
                <w:szCs w:val="18"/>
                <w:lang w:val="fr-CA"/>
              </w:rPr>
              <w:br/>
              <w:t>• Les matériau</w:t>
            </w:r>
            <w:r>
              <w:rPr>
                <w:rFonts w:ascii="Arial" w:eastAsia="Times New Roman" w:hAnsi="Arial" w:cs="Arial"/>
                <w:sz w:val="18"/>
                <w:szCs w:val="18"/>
                <w:lang w:val="fr-CA"/>
              </w:rPr>
              <w:t>x utilisés pour les prototypes : configuration, test des processus de production, formation d</w:t>
            </w:r>
            <w:r w:rsidRPr="00D55CC5">
              <w:rPr>
                <w:rFonts w:ascii="Arial" w:eastAsia="Times New Roman" w:hAnsi="Arial" w:cs="Arial"/>
                <w:sz w:val="18"/>
                <w:szCs w:val="18"/>
                <w:lang w:val="fr-CA"/>
              </w:rPr>
              <w:t>es employés.</w:t>
            </w:r>
            <w:r w:rsidRPr="00D55CC5">
              <w:rPr>
                <w:rFonts w:ascii="Arial" w:eastAsia="Times New Roman" w:hAnsi="Arial" w:cs="Arial"/>
                <w:sz w:val="18"/>
                <w:szCs w:val="18"/>
                <w:lang w:val="fr-CA"/>
              </w:rPr>
              <w:br/>
            </w:r>
            <w:r w:rsidRPr="00D55CC5">
              <w:rPr>
                <w:rFonts w:ascii="Arial" w:eastAsia="Times New Roman" w:hAnsi="Arial" w:cs="Arial"/>
                <w:sz w:val="18"/>
                <w:szCs w:val="18"/>
                <w:lang w:val="fr-CA"/>
              </w:rPr>
              <w:br/>
              <w:t xml:space="preserve">• La mise en œuvre matérielle et logicielle, l'installation et les coûts d'installation requis pour le projet </w:t>
            </w:r>
            <w:r w:rsidR="000A5B57">
              <w:rPr>
                <w:rFonts w:ascii="Arial" w:eastAsia="Times New Roman" w:hAnsi="Arial" w:cs="Arial"/>
                <w:sz w:val="18"/>
                <w:szCs w:val="18"/>
                <w:lang w:val="fr-CA"/>
              </w:rPr>
              <w:t xml:space="preserve">qui ne </w:t>
            </w:r>
            <w:r w:rsidRPr="00D55CC5">
              <w:rPr>
                <w:rFonts w:ascii="Arial" w:eastAsia="Times New Roman" w:hAnsi="Arial" w:cs="Arial"/>
                <w:sz w:val="18"/>
                <w:szCs w:val="18"/>
                <w:lang w:val="fr-CA"/>
              </w:rPr>
              <w:t>ne sont pas normalement fournis par l'</w:t>
            </w:r>
            <w:r w:rsidR="000A5B57">
              <w:rPr>
                <w:rFonts w:ascii="Arial" w:eastAsia="Times New Roman" w:hAnsi="Arial" w:cs="Arial"/>
                <w:sz w:val="18"/>
                <w:szCs w:val="18"/>
                <w:lang w:val="fr-CA"/>
              </w:rPr>
              <w:t>institution</w:t>
            </w:r>
            <w:r w:rsidRPr="00D55CC5">
              <w:rPr>
                <w:rFonts w:ascii="Arial" w:eastAsia="Times New Roman" w:hAnsi="Arial" w:cs="Arial"/>
                <w:sz w:val="18"/>
                <w:szCs w:val="18"/>
                <w:lang w:val="fr-CA"/>
              </w:rPr>
              <w:t xml:space="preserve"> hôte, et avec une justification adéquate.</w:t>
            </w:r>
            <w:r w:rsidRPr="00D55CC5">
              <w:rPr>
                <w:rFonts w:ascii="Arial" w:eastAsia="Times New Roman" w:hAnsi="Arial" w:cs="Arial"/>
                <w:sz w:val="18"/>
                <w:szCs w:val="18"/>
                <w:lang w:val="fr-CA"/>
              </w:rPr>
              <w:br/>
            </w:r>
            <w:r w:rsidRPr="00D55CC5">
              <w:rPr>
                <w:rFonts w:ascii="Arial" w:eastAsia="Times New Roman" w:hAnsi="Arial" w:cs="Arial"/>
                <w:sz w:val="18"/>
                <w:szCs w:val="18"/>
                <w:lang w:val="fr-CA"/>
              </w:rPr>
              <w:br/>
              <w:t>• Les frais mensuels pour l'utilisation d'Internet par l'</w:t>
            </w:r>
            <w:r w:rsidR="000A5B57">
              <w:rPr>
                <w:rFonts w:ascii="Arial" w:eastAsia="Times New Roman" w:hAnsi="Arial" w:cs="Arial"/>
                <w:sz w:val="18"/>
                <w:szCs w:val="18"/>
                <w:lang w:val="fr-CA"/>
              </w:rPr>
              <w:t>institution</w:t>
            </w:r>
            <w:r w:rsidRPr="00D55CC5">
              <w:rPr>
                <w:rFonts w:ascii="Arial" w:eastAsia="Times New Roman" w:hAnsi="Arial" w:cs="Arial"/>
                <w:sz w:val="18"/>
                <w:szCs w:val="18"/>
                <w:lang w:val="fr-CA"/>
              </w:rPr>
              <w:t xml:space="preserve"> hôte, uniquement lorsque ce service est requis pour les besoins du projet et n'est pas normalement fourni par l'</w:t>
            </w:r>
            <w:r w:rsidR="000A5B57">
              <w:rPr>
                <w:rFonts w:ascii="Arial" w:eastAsia="Times New Roman" w:hAnsi="Arial" w:cs="Arial"/>
                <w:sz w:val="18"/>
                <w:szCs w:val="18"/>
                <w:lang w:val="fr-CA"/>
              </w:rPr>
              <w:t>institution</w:t>
            </w:r>
            <w:r w:rsidRPr="00D55CC5">
              <w:rPr>
                <w:rFonts w:ascii="Arial" w:eastAsia="Times New Roman" w:hAnsi="Arial" w:cs="Arial"/>
                <w:sz w:val="18"/>
                <w:szCs w:val="18"/>
                <w:lang w:val="fr-CA"/>
              </w:rPr>
              <w:t xml:space="preserve"> hôte.</w:t>
            </w:r>
            <w:r w:rsidRPr="00D55CC5">
              <w:rPr>
                <w:rFonts w:ascii="Arial" w:eastAsia="Times New Roman" w:hAnsi="Arial" w:cs="Arial"/>
                <w:sz w:val="18"/>
                <w:szCs w:val="18"/>
                <w:lang w:val="fr-CA"/>
              </w:rPr>
              <w:br/>
            </w:r>
            <w:r w:rsidRPr="00D55CC5">
              <w:rPr>
                <w:rFonts w:ascii="Arial" w:eastAsia="Times New Roman" w:hAnsi="Arial" w:cs="Arial"/>
                <w:sz w:val="18"/>
                <w:szCs w:val="18"/>
                <w:lang w:val="fr-CA"/>
              </w:rPr>
              <w:br/>
              <w:t xml:space="preserve">• Téléphones cellulaires, téléphones intelligents ou autres appareils électroniques lorsqu'ils sont nécessaires </w:t>
            </w:r>
            <w:r w:rsidR="000A5B57">
              <w:rPr>
                <w:rFonts w:ascii="Arial" w:eastAsia="Times New Roman" w:hAnsi="Arial" w:cs="Arial"/>
                <w:sz w:val="18"/>
                <w:szCs w:val="18"/>
                <w:lang w:val="fr-CA"/>
              </w:rPr>
              <w:t>au</w:t>
            </w:r>
            <w:r w:rsidRPr="00D55CC5">
              <w:rPr>
                <w:rFonts w:ascii="Arial" w:eastAsia="Times New Roman" w:hAnsi="Arial" w:cs="Arial"/>
                <w:sz w:val="18"/>
                <w:szCs w:val="18"/>
                <w:lang w:val="fr-CA"/>
              </w:rPr>
              <w:t xml:space="preserve"> projet uniqueme</w:t>
            </w:r>
            <w:r w:rsidR="000A5B57">
              <w:rPr>
                <w:rFonts w:ascii="Arial" w:eastAsia="Times New Roman" w:hAnsi="Arial" w:cs="Arial"/>
                <w:sz w:val="18"/>
                <w:szCs w:val="18"/>
                <w:lang w:val="fr-CA"/>
              </w:rPr>
              <w:t>nt (ex.: collecte de données) et/</w:t>
            </w:r>
            <w:r w:rsidRPr="00D55CC5">
              <w:rPr>
                <w:rFonts w:ascii="Arial" w:eastAsia="Times New Roman" w:hAnsi="Arial" w:cs="Arial"/>
                <w:sz w:val="18"/>
                <w:szCs w:val="18"/>
                <w:lang w:val="fr-CA"/>
              </w:rPr>
              <w:t>ou pour des raisons de sécurité du personnel avec justification adéquate.</w:t>
            </w:r>
            <w:r w:rsidRPr="00D55CC5">
              <w:rPr>
                <w:rFonts w:ascii="Arial" w:eastAsia="Times New Roman" w:hAnsi="Arial" w:cs="Arial"/>
                <w:sz w:val="18"/>
                <w:szCs w:val="18"/>
                <w:lang w:val="fr-CA"/>
              </w:rPr>
              <w:br/>
            </w:r>
            <w:r w:rsidRPr="00D55CC5">
              <w:rPr>
                <w:rFonts w:ascii="Arial" w:eastAsia="Times New Roman" w:hAnsi="Arial" w:cs="Arial"/>
                <w:sz w:val="18"/>
                <w:szCs w:val="18"/>
                <w:lang w:val="fr-CA"/>
              </w:rPr>
              <w:br/>
              <w:t xml:space="preserve">• Coût d'acquisition ou d'utilisation </w:t>
            </w:r>
            <w:r w:rsidR="000A5B57">
              <w:rPr>
                <w:rFonts w:ascii="Arial" w:eastAsia="Times New Roman" w:hAnsi="Arial" w:cs="Arial"/>
                <w:sz w:val="18"/>
                <w:szCs w:val="18"/>
                <w:lang w:val="fr-CA"/>
              </w:rPr>
              <w:t xml:space="preserve">de l'équipement au prorata de </w:t>
            </w:r>
            <w:r w:rsidRPr="00D55CC5">
              <w:rPr>
                <w:rFonts w:ascii="Arial" w:eastAsia="Times New Roman" w:hAnsi="Arial" w:cs="Arial"/>
                <w:sz w:val="18"/>
                <w:szCs w:val="18"/>
                <w:lang w:val="fr-CA"/>
              </w:rPr>
              <w:t>la durée du projet (jusqu'à concurrence de 20</w:t>
            </w:r>
            <w:r w:rsidR="000A5B57">
              <w:rPr>
                <w:rFonts w:ascii="Arial" w:eastAsia="Times New Roman" w:hAnsi="Arial" w:cs="Arial"/>
                <w:sz w:val="18"/>
                <w:szCs w:val="18"/>
                <w:lang w:val="fr-CA"/>
              </w:rPr>
              <w:t> </w:t>
            </w:r>
            <w:r w:rsidRPr="00D55CC5">
              <w:rPr>
                <w:rFonts w:ascii="Arial" w:eastAsia="Times New Roman" w:hAnsi="Arial" w:cs="Arial"/>
                <w:sz w:val="18"/>
                <w:szCs w:val="18"/>
                <w:lang w:val="fr-CA"/>
              </w:rPr>
              <w:t>% du coût du projet).</w:t>
            </w:r>
            <w:r w:rsidRPr="00D55CC5">
              <w:rPr>
                <w:rFonts w:ascii="Arial" w:eastAsia="Times New Roman" w:hAnsi="Arial" w:cs="Arial"/>
                <w:sz w:val="18"/>
                <w:szCs w:val="18"/>
                <w:lang w:val="fr-CA"/>
              </w:rPr>
              <w:br/>
            </w:r>
            <w:r w:rsidRPr="00D55CC5">
              <w:rPr>
                <w:rFonts w:ascii="Arial" w:eastAsia="Times New Roman" w:hAnsi="Arial" w:cs="Arial"/>
                <w:sz w:val="18"/>
                <w:szCs w:val="18"/>
                <w:lang w:val="fr-CA"/>
              </w:rPr>
              <w:br/>
              <w:t>• Les frais payés pour le recrutement et l'engagement des participants.</w:t>
            </w:r>
            <w:r w:rsidRPr="00D55CC5">
              <w:rPr>
                <w:rFonts w:ascii="Arial" w:eastAsia="Times New Roman" w:hAnsi="Arial" w:cs="Arial"/>
                <w:sz w:val="18"/>
                <w:szCs w:val="18"/>
                <w:lang w:val="fr-CA"/>
              </w:rPr>
              <w:br/>
            </w:r>
            <w:r w:rsidRPr="00D55CC5">
              <w:rPr>
                <w:rFonts w:ascii="Arial" w:eastAsia="Times New Roman" w:hAnsi="Arial" w:cs="Arial"/>
                <w:sz w:val="18"/>
                <w:szCs w:val="18"/>
                <w:lang w:val="fr-CA"/>
              </w:rPr>
              <w:br/>
              <w:t xml:space="preserve">• Les dépenses liées à la sécurité </w:t>
            </w:r>
            <w:r w:rsidR="00925C29">
              <w:rPr>
                <w:rFonts w:ascii="Arial" w:eastAsia="Times New Roman" w:hAnsi="Arial" w:cs="Arial"/>
                <w:sz w:val="18"/>
                <w:szCs w:val="18"/>
                <w:lang w:val="fr-CA"/>
              </w:rPr>
              <w:t>du</w:t>
            </w:r>
            <w:r w:rsidRPr="00D55CC5">
              <w:rPr>
                <w:rFonts w:ascii="Arial" w:eastAsia="Times New Roman" w:hAnsi="Arial" w:cs="Arial"/>
                <w:sz w:val="18"/>
                <w:szCs w:val="18"/>
                <w:lang w:val="fr-CA"/>
              </w:rPr>
              <w:t xml:space="preserve"> travail sur le terrain, </w:t>
            </w:r>
            <w:r w:rsidRPr="00D55CC5">
              <w:rPr>
                <w:rFonts w:ascii="Arial" w:eastAsia="Times New Roman" w:hAnsi="Arial" w:cs="Arial"/>
                <w:sz w:val="18"/>
                <w:szCs w:val="18"/>
                <w:lang w:val="fr-CA"/>
              </w:rPr>
              <w:lastRenderedPageBreak/>
              <w:t>telles que les équipements de protection, les vaccinations, etc.</w:t>
            </w:r>
          </w:p>
          <w:p w14:paraId="01F293C4" w14:textId="77777777" w:rsidR="00933DE0" w:rsidRPr="00D55CC5" w:rsidRDefault="00933DE0" w:rsidP="00D55CC5">
            <w:pPr>
              <w:spacing w:line="276" w:lineRule="auto"/>
              <w:rPr>
                <w:rFonts w:ascii="Arial" w:hAnsi="Arial" w:cs="Arial"/>
                <w:sz w:val="18"/>
                <w:szCs w:val="18"/>
                <w:lang w:val="fr-CA"/>
              </w:rPr>
            </w:pPr>
          </w:p>
          <w:p w14:paraId="50FA7BE1" w14:textId="77777777" w:rsidR="00D55CC5" w:rsidRDefault="00D55CC5" w:rsidP="00925C29">
            <w:pPr>
              <w:rPr>
                <w:rFonts w:ascii="Arial" w:eastAsia="Times New Roman" w:hAnsi="Arial" w:cs="Arial"/>
                <w:sz w:val="18"/>
                <w:szCs w:val="18"/>
                <w:lang w:val="fr-CA"/>
              </w:rPr>
            </w:pPr>
            <w:r w:rsidRPr="00D55CC5">
              <w:rPr>
                <w:rFonts w:ascii="Arial" w:eastAsia="Times New Roman" w:hAnsi="Arial" w:cs="Arial"/>
                <w:sz w:val="18"/>
                <w:szCs w:val="18"/>
                <w:lang w:val="fr-CA"/>
              </w:rPr>
              <w:t xml:space="preserve">• Les coûts </w:t>
            </w:r>
            <w:r w:rsidR="00925C29">
              <w:rPr>
                <w:rFonts w:ascii="Arial" w:eastAsia="Times New Roman" w:hAnsi="Arial" w:cs="Arial"/>
                <w:sz w:val="18"/>
                <w:szCs w:val="18"/>
                <w:lang w:val="fr-CA"/>
              </w:rPr>
              <w:t>pour la formation et/</w:t>
            </w:r>
            <w:r w:rsidRPr="00D55CC5">
              <w:rPr>
                <w:rFonts w:ascii="Arial" w:eastAsia="Times New Roman" w:hAnsi="Arial" w:cs="Arial"/>
                <w:sz w:val="18"/>
                <w:szCs w:val="18"/>
                <w:lang w:val="fr-CA"/>
              </w:rPr>
              <w:t>ou le perfectionnement du personnel aux techniq</w:t>
            </w:r>
            <w:r w:rsidR="00925C29">
              <w:rPr>
                <w:rFonts w:ascii="Arial" w:eastAsia="Times New Roman" w:hAnsi="Arial" w:cs="Arial"/>
                <w:sz w:val="18"/>
                <w:szCs w:val="18"/>
                <w:lang w:val="fr-CA"/>
              </w:rPr>
              <w:t>ues novatrices requises pour le</w:t>
            </w:r>
            <w:r w:rsidRPr="00D55CC5">
              <w:rPr>
                <w:rFonts w:ascii="Arial" w:eastAsia="Times New Roman" w:hAnsi="Arial" w:cs="Arial"/>
                <w:sz w:val="18"/>
                <w:szCs w:val="18"/>
                <w:lang w:val="fr-CA"/>
              </w:rPr>
              <w:t>(s) rôle(s) du projet.</w:t>
            </w:r>
            <w:r w:rsidRPr="00D55CC5">
              <w:rPr>
                <w:rFonts w:ascii="Arial" w:eastAsia="Times New Roman" w:hAnsi="Arial" w:cs="Arial"/>
                <w:sz w:val="18"/>
                <w:szCs w:val="18"/>
                <w:lang w:val="fr-CA"/>
              </w:rPr>
              <w:br/>
            </w:r>
            <w:r w:rsidRPr="00D55CC5">
              <w:rPr>
                <w:rFonts w:ascii="Arial" w:eastAsia="Times New Roman" w:hAnsi="Arial" w:cs="Arial"/>
                <w:sz w:val="18"/>
                <w:szCs w:val="18"/>
                <w:lang w:val="fr-CA"/>
              </w:rPr>
              <w:br/>
              <w:t>• Réunions et év</w:t>
            </w:r>
            <w:r w:rsidR="00925C29">
              <w:rPr>
                <w:rFonts w:ascii="Arial" w:eastAsia="Times New Roman" w:hAnsi="Arial" w:cs="Arial"/>
                <w:sz w:val="18"/>
                <w:szCs w:val="18"/>
                <w:lang w:val="fr-CA"/>
              </w:rPr>
              <w:t>énements relatifs au projet (ex.: l</w:t>
            </w:r>
            <w:r w:rsidRPr="00D55CC5">
              <w:rPr>
                <w:rFonts w:ascii="Arial" w:eastAsia="Times New Roman" w:hAnsi="Arial" w:cs="Arial"/>
                <w:sz w:val="18"/>
                <w:szCs w:val="18"/>
                <w:lang w:val="fr-CA"/>
              </w:rPr>
              <w:t>ocation de salles de réunion). La restauration n'est pas une dépense admissible, à l'exception des rafraîchissements mineurs.</w:t>
            </w:r>
            <w:r w:rsidRPr="00D55CC5">
              <w:rPr>
                <w:rFonts w:ascii="Arial" w:eastAsia="Times New Roman" w:hAnsi="Arial" w:cs="Arial"/>
                <w:sz w:val="18"/>
                <w:szCs w:val="18"/>
                <w:lang w:val="fr-CA"/>
              </w:rPr>
              <w:br/>
            </w:r>
            <w:r w:rsidRPr="00D55CC5">
              <w:rPr>
                <w:rFonts w:ascii="Arial" w:eastAsia="Times New Roman" w:hAnsi="Arial" w:cs="Arial"/>
                <w:sz w:val="18"/>
                <w:szCs w:val="18"/>
                <w:lang w:val="fr-CA"/>
              </w:rPr>
              <w:br/>
              <w:t>• Coûts de développement de l'information sur le Web, y compris les frais de maintenance du site Web.</w:t>
            </w:r>
            <w:r w:rsidRPr="00D55CC5">
              <w:rPr>
                <w:rFonts w:ascii="Arial" w:eastAsia="Times New Roman" w:hAnsi="Arial" w:cs="Arial"/>
                <w:sz w:val="18"/>
                <w:szCs w:val="18"/>
                <w:lang w:val="fr-CA"/>
              </w:rPr>
              <w:br/>
            </w:r>
            <w:r w:rsidRPr="00D55CC5">
              <w:rPr>
                <w:rFonts w:ascii="Arial" w:eastAsia="Times New Roman" w:hAnsi="Arial" w:cs="Arial"/>
                <w:sz w:val="18"/>
                <w:szCs w:val="18"/>
                <w:lang w:val="fr-CA"/>
              </w:rPr>
              <w:br/>
              <w:t>• Coûts associés à la diffusion des résultats, y compris les coûts de traduction.</w:t>
            </w:r>
          </w:p>
          <w:p w14:paraId="115F20F9" w14:textId="0E9DE6CE" w:rsidR="00BF0350" w:rsidRPr="00D55CC5" w:rsidRDefault="00BF0350" w:rsidP="00925C29">
            <w:pPr>
              <w:rPr>
                <w:rFonts w:ascii="Arial" w:hAnsi="Arial" w:cs="Arial"/>
                <w:sz w:val="18"/>
                <w:szCs w:val="18"/>
                <w:lang w:val="fr-CA"/>
              </w:rPr>
            </w:pPr>
          </w:p>
        </w:tc>
        <w:tc>
          <w:tcPr>
            <w:tcW w:w="5090" w:type="dxa"/>
            <w:gridSpan w:val="2"/>
            <w:shd w:val="clear" w:color="auto" w:fill="auto"/>
          </w:tcPr>
          <w:p w14:paraId="09809CF8" w14:textId="77777777" w:rsidR="00D55CC5" w:rsidRDefault="00D55CC5" w:rsidP="00D55CC5">
            <w:pPr>
              <w:rPr>
                <w:rFonts w:ascii="Arial" w:eastAsia="Times New Roman" w:hAnsi="Arial" w:cs="Arial"/>
                <w:sz w:val="18"/>
                <w:szCs w:val="18"/>
                <w:lang w:val="fr-CA"/>
              </w:rPr>
            </w:pPr>
          </w:p>
          <w:p w14:paraId="26128586" w14:textId="3D0D6231" w:rsidR="00933DE0" w:rsidRPr="00D55CC5" w:rsidRDefault="00D55CC5" w:rsidP="007B4536">
            <w:pPr>
              <w:rPr>
                <w:rFonts w:ascii="Arial" w:hAnsi="Arial" w:cs="Arial"/>
                <w:sz w:val="18"/>
                <w:szCs w:val="18"/>
                <w:lang w:val="fr-CA"/>
              </w:rPr>
            </w:pPr>
            <w:r w:rsidRPr="00D55CC5">
              <w:rPr>
                <w:rFonts w:ascii="Arial" w:eastAsia="Times New Roman" w:hAnsi="Arial" w:cs="Arial"/>
                <w:sz w:val="18"/>
                <w:szCs w:val="18"/>
                <w:lang w:val="fr-CA"/>
              </w:rPr>
              <w:t>• Les coûts qui ne sont pas directement associés à la ré</w:t>
            </w:r>
            <w:r w:rsidR="007B4536">
              <w:rPr>
                <w:rFonts w:ascii="Arial" w:eastAsia="Times New Roman" w:hAnsi="Arial" w:cs="Arial"/>
                <w:sz w:val="18"/>
                <w:szCs w:val="18"/>
                <w:lang w:val="fr-CA"/>
              </w:rPr>
              <w:t>alisation des livrables et des étapes-clés</w:t>
            </w:r>
            <w:r w:rsidRPr="00D55CC5">
              <w:rPr>
                <w:rFonts w:ascii="Arial" w:eastAsia="Times New Roman" w:hAnsi="Arial" w:cs="Arial"/>
                <w:sz w:val="18"/>
                <w:szCs w:val="18"/>
                <w:lang w:val="fr-CA"/>
              </w:rPr>
              <w:t xml:space="preserve"> énoncés dans l'entente de financement.</w:t>
            </w:r>
            <w:r w:rsidRPr="00D55CC5">
              <w:rPr>
                <w:rFonts w:ascii="Arial" w:eastAsia="Times New Roman" w:hAnsi="Arial" w:cs="Arial"/>
                <w:sz w:val="18"/>
                <w:szCs w:val="18"/>
                <w:lang w:val="fr-CA"/>
              </w:rPr>
              <w:br/>
            </w:r>
            <w:r w:rsidRPr="00D55CC5">
              <w:rPr>
                <w:rFonts w:ascii="Arial" w:eastAsia="Times New Roman" w:hAnsi="Arial" w:cs="Arial"/>
                <w:sz w:val="18"/>
                <w:szCs w:val="18"/>
                <w:lang w:val="fr-CA"/>
              </w:rPr>
              <w:br/>
              <w:t>• Les dépenses personnelle</w:t>
            </w:r>
            <w:r w:rsidR="007B4536">
              <w:rPr>
                <w:rFonts w:ascii="Arial" w:eastAsia="Times New Roman" w:hAnsi="Arial" w:cs="Arial"/>
                <w:sz w:val="18"/>
                <w:szCs w:val="18"/>
                <w:lang w:val="fr-CA"/>
              </w:rPr>
              <w:t>s</w:t>
            </w:r>
            <w:r w:rsidRPr="00D55CC5">
              <w:rPr>
                <w:rFonts w:ascii="Arial" w:eastAsia="Times New Roman" w:hAnsi="Arial" w:cs="Arial"/>
                <w:sz w:val="18"/>
                <w:szCs w:val="18"/>
                <w:lang w:val="fr-CA"/>
              </w:rPr>
              <w:t>.</w:t>
            </w:r>
            <w:r w:rsidRPr="00D55CC5">
              <w:rPr>
                <w:rFonts w:ascii="Arial" w:eastAsia="Times New Roman" w:hAnsi="Arial" w:cs="Arial"/>
                <w:sz w:val="18"/>
                <w:szCs w:val="18"/>
                <w:lang w:val="fr-CA"/>
              </w:rPr>
              <w:br/>
            </w:r>
            <w:r w:rsidRPr="00D55CC5">
              <w:rPr>
                <w:rFonts w:ascii="Arial" w:eastAsia="Times New Roman" w:hAnsi="Arial" w:cs="Arial"/>
                <w:sz w:val="18"/>
                <w:szCs w:val="18"/>
                <w:lang w:val="fr-CA"/>
              </w:rPr>
              <w:br/>
              <w:t>• Les coûts liés aux récompenses et à la reconnaissance du personnel.</w:t>
            </w:r>
            <w:r w:rsidRPr="00D55CC5">
              <w:rPr>
                <w:rFonts w:ascii="Arial" w:eastAsia="Times New Roman" w:hAnsi="Arial" w:cs="Arial"/>
                <w:sz w:val="18"/>
                <w:szCs w:val="18"/>
                <w:lang w:val="fr-CA"/>
              </w:rPr>
              <w:br/>
            </w:r>
            <w:r w:rsidRPr="00D55CC5">
              <w:rPr>
                <w:rFonts w:ascii="Arial" w:eastAsia="Times New Roman" w:hAnsi="Arial" w:cs="Arial"/>
                <w:sz w:val="18"/>
                <w:szCs w:val="18"/>
                <w:lang w:val="fr-CA"/>
              </w:rPr>
              <w:br/>
              <w:t>• Les frais de représentation, les cadeaux et les boissons alcoolisées.</w:t>
            </w:r>
            <w:r w:rsidRPr="00D55CC5">
              <w:rPr>
                <w:rFonts w:ascii="Arial" w:eastAsia="Times New Roman" w:hAnsi="Arial" w:cs="Arial"/>
                <w:sz w:val="18"/>
                <w:szCs w:val="18"/>
                <w:lang w:val="fr-CA"/>
              </w:rPr>
              <w:br/>
            </w:r>
            <w:r w:rsidRPr="00D55CC5">
              <w:rPr>
                <w:rFonts w:ascii="Arial" w:eastAsia="Times New Roman" w:hAnsi="Arial" w:cs="Arial"/>
                <w:sz w:val="18"/>
                <w:szCs w:val="18"/>
                <w:lang w:val="fr-CA"/>
              </w:rPr>
              <w:br/>
              <w:t>• Les dépenses associées aux activités de lobbying ou de relations gouvernementales.</w:t>
            </w:r>
            <w:r w:rsidRPr="00D55CC5">
              <w:rPr>
                <w:rFonts w:ascii="Arial" w:eastAsia="Times New Roman" w:hAnsi="Arial" w:cs="Arial"/>
                <w:sz w:val="18"/>
                <w:szCs w:val="18"/>
                <w:lang w:val="fr-CA"/>
              </w:rPr>
              <w:br/>
            </w:r>
            <w:r w:rsidRPr="00D55CC5">
              <w:rPr>
                <w:rFonts w:ascii="Arial" w:eastAsia="Times New Roman" w:hAnsi="Arial" w:cs="Arial"/>
                <w:sz w:val="18"/>
                <w:szCs w:val="18"/>
                <w:lang w:val="fr-CA"/>
              </w:rPr>
              <w:br/>
              <w:t>• Les dépenses fiscales (y compris, mais sans s'y limiter, les taxes de vente, la déclaration d'impôt, les impôts sur le revenu).</w:t>
            </w:r>
            <w:r w:rsidRPr="00D55CC5">
              <w:rPr>
                <w:rFonts w:ascii="Arial" w:eastAsia="Times New Roman" w:hAnsi="Arial" w:cs="Arial"/>
                <w:sz w:val="18"/>
                <w:szCs w:val="18"/>
                <w:lang w:val="fr-CA"/>
              </w:rPr>
              <w:br/>
            </w:r>
            <w:r w:rsidRPr="00D55CC5">
              <w:rPr>
                <w:rFonts w:ascii="Arial" w:eastAsia="Times New Roman" w:hAnsi="Arial" w:cs="Arial"/>
                <w:sz w:val="18"/>
                <w:szCs w:val="18"/>
                <w:lang w:val="fr-CA"/>
              </w:rPr>
              <w:br/>
              <w:t>• Frais juridiques, de comptabilité et de consultation liés au développement de la proposition.</w:t>
            </w:r>
            <w:r w:rsidRPr="00D55CC5">
              <w:rPr>
                <w:rFonts w:ascii="Arial" w:eastAsia="Times New Roman" w:hAnsi="Arial" w:cs="Arial"/>
                <w:sz w:val="18"/>
                <w:szCs w:val="18"/>
                <w:lang w:val="fr-CA"/>
              </w:rPr>
              <w:br/>
            </w:r>
            <w:r w:rsidRPr="00D55CC5">
              <w:rPr>
                <w:rFonts w:ascii="Arial" w:eastAsia="Times New Roman" w:hAnsi="Arial" w:cs="Arial"/>
                <w:sz w:val="18"/>
                <w:szCs w:val="18"/>
                <w:lang w:val="fr-CA"/>
              </w:rPr>
              <w:br/>
              <w:t>• Amendes et pénalités.</w:t>
            </w:r>
            <w:r w:rsidRPr="00D55CC5">
              <w:rPr>
                <w:rFonts w:ascii="Arial" w:eastAsia="Times New Roman" w:hAnsi="Arial" w:cs="Arial"/>
                <w:sz w:val="18"/>
                <w:szCs w:val="18"/>
                <w:lang w:val="fr-CA"/>
              </w:rPr>
              <w:br/>
            </w:r>
            <w:r w:rsidRPr="00D55CC5">
              <w:rPr>
                <w:rFonts w:ascii="Arial" w:eastAsia="Times New Roman" w:hAnsi="Arial" w:cs="Arial"/>
                <w:sz w:val="18"/>
                <w:szCs w:val="18"/>
                <w:lang w:val="fr-CA"/>
              </w:rPr>
              <w:br/>
              <w:t>• Coût des services publics de base.</w:t>
            </w:r>
            <w:r w:rsidRPr="00D55CC5">
              <w:rPr>
                <w:rFonts w:ascii="Arial" w:eastAsia="Times New Roman" w:hAnsi="Arial" w:cs="Arial"/>
                <w:sz w:val="18"/>
                <w:szCs w:val="18"/>
                <w:lang w:val="fr-CA"/>
              </w:rPr>
              <w:br/>
            </w:r>
            <w:r w:rsidRPr="00D55CC5">
              <w:rPr>
                <w:rFonts w:ascii="Arial" w:eastAsia="Times New Roman" w:hAnsi="Arial" w:cs="Arial"/>
                <w:sz w:val="18"/>
                <w:szCs w:val="18"/>
                <w:lang w:val="fr-CA"/>
              </w:rPr>
              <w:br/>
              <w:t>• Les dons sous fo</w:t>
            </w:r>
            <w:r w:rsidR="007B4536">
              <w:rPr>
                <w:rFonts w:ascii="Arial" w:eastAsia="Times New Roman" w:hAnsi="Arial" w:cs="Arial"/>
                <w:sz w:val="18"/>
                <w:szCs w:val="18"/>
                <w:lang w:val="fr-CA"/>
              </w:rPr>
              <w:t xml:space="preserve">rme d'écarts d'acquisition et </w:t>
            </w:r>
            <w:r w:rsidRPr="00D55CC5">
              <w:rPr>
                <w:rFonts w:ascii="Arial" w:eastAsia="Times New Roman" w:hAnsi="Arial" w:cs="Arial"/>
                <w:sz w:val="18"/>
                <w:szCs w:val="18"/>
                <w:lang w:val="fr-CA"/>
              </w:rPr>
              <w:t>autres actifs incorporels (tels que la propriété intellectuelle, y compris le</w:t>
            </w:r>
            <w:r w:rsidR="007B4536">
              <w:rPr>
                <w:rFonts w:ascii="Arial" w:eastAsia="Times New Roman" w:hAnsi="Arial" w:cs="Arial"/>
                <w:sz w:val="18"/>
                <w:szCs w:val="18"/>
                <w:lang w:val="fr-CA"/>
              </w:rPr>
              <w:t>s licences et les brevets).</w:t>
            </w:r>
            <w:r w:rsidR="007B4536">
              <w:rPr>
                <w:rFonts w:ascii="Arial" w:eastAsia="Times New Roman" w:hAnsi="Arial" w:cs="Arial"/>
                <w:sz w:val="18"/>
                <w:szCs w:val="18"/>
                <w:lang w:val="fr-CA"/>
              </w:rPr>
              <w:br/>
            </w:r>
            <w:r w:rsidR="007B4536">
              <w:rPr>
                <w:rFonts w:ascii="Arial" w:eastAsia="Times New Roman" w:hAnsi="Arial" w:cs="Arial"/>
                <w:sz w:val="18"/>
                <w:szCs w:val="18"/>
                <w:lang w:val="fr-CA"/>
              </w:rPr>
              <w:br/>
              <w:t>• L</w:t>
            </w:r>
            <w:r w:rsidRPr="00D55CC5">
              <w:rPr>
                <w:rFonts w:ascii="Arial" w:eastAsia="Times New Roman" w:hAnsi="Arial" w:cs="Arial"/>
                <w:sz w:val="18"/>
                <w:szCs w:val="18"/>
                <w:lang w:val="fr-CA"/>
              </w:rPr>
              <w:t>es coûts d'op</w:t>
            </w:r>
            <w:r w:rsidR="007B4536">
              <w:rPr>
                <w:rFonts w:ascii="Arial" w:eastAsia="Times New Roman" w:hAnsi="Arial" w:cs="Arial"/>
                <w:sz w:val="18"/>
                <w:szCs w:val="18"/>
                <w:lang w:val="fr-CA"/>
              </w:rPr>
              <w:t>portunité, soit les revenus non-</w:t>
            </w:r>
            <w:r w:rsidRPr="00D55CC5">
              <w:rPr>
                <w:rFonts w:ascii="Arial" w:eastAsia="Times New Roman" w:hAnsi="Arial" w:cs="Arial"/>
                <w:sz w:val="18"/>
                <w:szCs w:val="18"/>
                <w:lang w:val="fr-CA"/>
              </w:rPr>
              <w:t xml:space="preserve">perçus par le </w:t>
            </w:r>
            <w:r w:rsidRPr="00D55CC5">
              <w:rPr>
                <w:rFonts w:ascii="Arial" w:eastAsia="Times New Roman" w:hAnsi="Arial" w:cs="Arial"/>
                <w:sz w:val="18"/>
                <w:szCs w:val="18"/>
                <w:lang w:val="fr-CA"/>
              </w:rPr>
              <w:lastRenderedPageBreak/>
              <w:t xml:space="preserve">bénéficiaire parce qu'il n'a pas réalisé d'activité bénéfique à la suite de sa participation au projet </w:t>
            </w:r>
            <w:r w:rsidR="007B4536">
              <w:rPr>
                <w:rFonts w:ascii="Arial" w:eastAsia="Times New Roman" w:hAnsi="Arial" w:cs="Arial"/>
                <w:sz w:val="18"/>
                <w:szCs w:val="18"/>
                <w:lang w:val="fr-CA"/>
              </w:rPr>
              <w:t xml:space="preserve">du </w:t>
            </w:r>
            <w:r w:rsidRPr="00D55CC5">
              <w:rPr>
                <w:rFonts w:ascii="Arial" w:eastAsia="Times New Roman" w:hAnsi="Arial" w:cs="Arial"/>
                <w:sz w:val="18"/>
                <w:szCs w:val="18"/>
                <w:lang w:val="fr-CA"/>
              </w:rPr>
              <w:t>CABHI et aux programmes connexes dans le cadre de la présente entente.</w:t>
            </w:r>
            <w:r w:rsidRPr="00D55CC5">
              <w:rPr>
                <w:rFonts w:ascii="Arial" w:eastAsia="Times New Roman" w:hAnsi="Arial" w:cs="Arial"/>
                <w:sz w:val="18"/>
                <w:szCs w:val="18"/>
                <w:lang w:val="fr-CA"/>
              </w:rPr>
              <w:br/>
            </w:r>
            <w:r w:rsidRPr="00D55CC5">
              <w:rPr>
                <w:rFonts w:ascii="Arial" w:eastAsia="Times New Roman" w:hAnsi="Arial" w:cs="Arial"/>
                <w:sz w:val="18"/>
                <w:szCs w:val="18"/>
                <w:lang w:val="fr-CA"/>
              </w:rPr>
              <w:br/>
              <w:t>• Remises standard et frais d'intérêt.</w:t>
            </w:r>
            <w:r w:rsidRPr="00D55CC5">
              <w:rPr>
                <w:rFonts w:ascii="Arial" w:eastAsia="Times New Roman" w:hAnsi="Arial" w:cs="Arial"/>
                <w:sz w:val="18"/>
                <w:szCs w:val="18"/>
                <w:lang w:val="fr-CA"/>
              </w:rPr>
              <w:br/>
            </w:r>
            <w:r w:rsidRPr="00D55CC5">
              <w:rPr>
                <w:rFonts w:ascii="Arial" w:eastAsia="Times New Roman" w:hAnsi="Arial" w:cs="Arial"/>
                <w:sz w:val="18"/>
                <w:szCs w:val="18"/>
                <w:lang w:val="fr-CA"/>
              </w:rPr>
              <w:br/>
              <w:t>• Les pertes sur les investissements, les créances irrécouvrables et les frais de recouvrement connexes.</w:t>
            </w:r>
            <w:r w:rsidRPr="00D55CC5">
              <w:rPr>
                <w:rFonts w:ascii="Arial" w:eastAsia="Times New Roman" w:hAnsi="Arial" w:cs="Arial"/>
                <w:sz w:val="18"/>
                <w:szCs w:val="18"/>
                <w:lang w:val="fr-CA"/>
              </w:rPr>
              <w:br/>
            </w:r>
            <w:r w:rsidRPr="00D55CC5">
              <w:rPr>
                <w:rFonts w:ascii="Arial" w:eastAsia="Times New Roman" w:hAnsi="Arial" w:cs="Arial"/>
                <w:sz w:val="18"/>
                <w:szCs w:val="18"/>
                <w:lang w:val="fr-CA"/>
              </w:rPr>
              <w:br/>
              <w:t>• Pertes sur d'autres projets ou contrats.</w:t>
            </w:r>
            <w:r w:rsidRPr="00D55CC5">
              <w:rPr>
                <w:rFonts w:ascii="Arial" w:eastAsia="Times New Roman" w:hAnsi="Arial" w:cs="Arial"/>
                <w:sz w:val="18"/>
                <w:szCs w:val="18"/>
                <w:lang w:val="fr-CA"/>
              </w:rPr>
              <w:br/>
            </w:r>
            <w:r w:rsidRPr="00D55CC5">
              <w:rPr>
                <w:rFonts w:ascii="Arial" w:eastAsia="Times New Roman" w:hAnsi="Arial" w:cs="Arial"/>
                <w:sz w:val="18"/>
                <w:szCs w:val="18"/>
                <w:lang w:val="fr-CA"/>
              </w:rPr>
              <w:br/>
              <w:t xml:space="preserve">• Les coûts d'immobilisations corporelles, notamment les coûts liés aux terrains, aux bâtiments, aux véhicules et à l'infrastructure, y compris l'amortissement des actifs payés par </w:t>
            </w:r>
            <w:r w:rsidR="00925C29">
              <w:rPr>
                <w:rFonts w:ascii="Arial" w:eastAsia="Times New Roman" w:hAnsi="Arial" w:cs="Arial"/>
                <w:sz w:val="18"/>
                <w:szCs w:val="18"/>
                <w:lang w:val="fr-CA"/>
              </w:rPr>
              <w:t>le CABHI</w:t>
            </w:r>
            <w:r w:rsidR="007B4536">
              <w:rPr>
                <w:rFonts w:ascii="Arial" w:eastAsia="Times New Roman" w:hAnsi="Arial" w:cs="Arial"/>
                <w:sz w:val="18"/>
                <w:szCs w:val="18"/>
                <w:lang w:val="fr-CA"/>
              </w:rPr>
              <w:t>.</w:t>
            </w:r>
          </w:p>
        </w:tc>
      </w:tr>
    </w:tbl>
    <w:p w14:paraId="2507046A" w14:textId="77777777" w:rsidR="00D043C6" w:rsidRPr="001F47E8" w:rsidRDefault="00D043C6" w:rsidP="009139DA">
      <w:pPr>
        <w:spacing w:after="0" w:line="240" w:lineRule="auto"/>
        <w:rPr>
          <w:rFonts w:ascii="Arial" w:hAnsi="Arial" w:cs="Arial"/>
          <w:sz w:val="20"/>
          <w:lang w:val="fr-CA"/>
        </w:rPr>
      </w:pPr>
    </w:p>
    <w:sectPr w:rsidR="00D043C6" w:rsidRPr="001F47E8" w:rsidSect="00236A58">
      <w:headerReference w:type="default" r:id="rId10"/>
      <w:footerReference w:type="default" r:id="rId11"/>
      <w:pgSz w:w="12240" w:h="15840"/>
      <w:pgMar w:top="1800" w:right="1008" w:bottom="1008"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9B0A8A" w14:textId="77777777" w:rsidR="00ED776A" w:rsidRDefault="00ED776A" w:rsidP="00D46581">
      <w:pPr>
        <w:spacing w:after="0" w:line="240" w:lineRule="auto"/>
      </w:pPr>
      <w:r>
        <w:separator/>
      </w:r>
    </w:p>
  </w:endnote>
  <w:endnote w:type="continuationSeparator" w:id="0">
    <w:p w14:paraId="4F430F4B" w14:textId="77777777" w:rsidR="00ED776A" w:rsidRDefault="00ED776A" w:rsidP="00D46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DD6CE" w14:textId="77777777" w:rsidR="00ED776A" w:rsidRPr="00E64FA8" w:rsidRDefault="00ED776A">
    <w:pPr>
      <w:pStyle w:val="Pieddepage"/>
      <w:rPr>
        <w:rFonts w:ascii="Arial" w:hAnsi="Arial" w:cs="Arial"/>
        <w:color w:val="808080" w:themeColor="background1" w:themeShade="80"/>
      </w:rPr>
    </w:pPr>
    <w:r>
      <w:rPr>
        <w:rFonts w:ascii="Arial" w:hAnsi="Arial" w:cs="Arial"/>
        <w:color w:val="808080" w:themeColor="background1" w:themeShade="80"/>
        <w:sz w:val="18"/>
      </w:rPr>
      <w:fldChar w:fldCharType="begin"/>
    </w:r>
    <w:r>
      <w:rPr>
        <w:rFonts w:ascii="Arial" w:hAnsi="Arial" w:cs="Arial"/>
        <w:color w:val="808080" w:themeColor="background1" w:themeShade="80"/>
        <w:sz w:val="18"/>
      </w:rPr>
      <w:instrText xml:space="preserve"> DATE \@ "MMMM d, yyyy" </w:instrText>
    </w:r>
    <w:r>
      <w:rPr>
        <w:rFonts w:ascii="Arial" w:hAnsi="Arial" w:cs="Arial"/>
        <w:color w:val="808080" w:themeColor="background1" w:themeShade="80"/>
        <w:sz w:val="18"/>
      </w:rPr>
      <w:fldChar w:fldCharType="separate"/>
    </w:r>
    <w:r>
      <w:rPr>
        <w:rFonts w:ascii="Arial" w:hAnsi="Arial" w:cs="Arial"/>
        <w:noProof/>
        <w:color w:val="808080" w:themeColor="background1" w:themeShade="80"/>
        <w:sz w:val="18"/>
      </w:rPr>
      <w:t>June 15, 2018</w:t>
    </w:r>
    <w:r>
      <w:rPr>
        <w:rFonts w:ascii="Arial" w:hAnsi="Arial" w:cs="Arial"/>
        <w:color w:val="808080" w:themeColor="background1" w:themeShade="80"/>
        <w:sz w:val="18"/>
      </w:rPr>
      <w:fldChar w:fldCharType="end"/>
    </w:r>
    <w:r w:rsidRPr="00E64FA8">
      <w:rPr>
        <w:rFonts w:ascii="Arial" w:hAnsi="Arial" w:cs="Arial"/>
        <w:color w:val="808080" w:themeColor="background1" w:themeShade="80"/>
        <w:sz w:val="18"/>
      </w:rPr>
      <w:ptab w:relativeTo="margin" w:alignment="center" w:leader="none"/>
    </w:r>
    <w:r w:rsidRPr="00E64FA8">
      <w:rPr>
        <w:rFonts w:ascii="Arial" w:hAnsi="Arial" w:cs="Arial"/>
        <w:color w:val="808080" w:themeColor="background1" w:themeShade="80"/>
        <w:sz w:val="18"/>
        <w:szCs w:val="18"/>
      </w:rPr>
      <w:ptab w:relativeTo="margin" w:alignment="center" w:leader="none"/>
    </w:r>
    <w:r w:rsidRPr="00E64FA8">
      <w:rPr>
        <w:rFonts w:ascii="Arial" w:hAnsi="Arial" w:cs="Arial"/>
        <w:color w:val="808080" w:themeColor="background1" w:themeShade="80"/>
        <w:sz w:val="18"/>
        <w:szCs w:val="18"/>
      </w:rPr>
      <w:ptab w:relativeTo="margin" w:alignment="right" w:leader="none"/>
    </w:r>
    <w:r w:rsidRPr="00E64FA8">
      <w:rPr>
        <w:rFonts w:ascii="Arial" w:hAnsi="Arial" w:cs="Arial"/>
        <w:color w:val="808080" w:themeColor="background1" w:themeShade="80"/>
        <w:sz w:val="18"/>
        <w:szCs w:val="18"/>
      </w:rPr>
      <w:t xml:space="preserve">Page </w:t>
    </w:r>
    <w:r w:rsidRPr="00E64FA8">
      <w:rPr>
        <w:rFonts w:ascii="Arial" w:hAnsi="Arial" w:cs="Arial"/>
        <w:color w:val="808080" w:themeColor="background1" w:themeShade="80"/>
        <w:sz w:val="18"/>
        <w:szCs w:val="18"/>
      </w:rPr>
      <w:fldChar w:fldCharType="begin"/>
    </w:r>
    <w:r w:rsidRPr="00E64FA8">
      <w:rPr>
        <w:rFonts w:ascii="Arial" w:hAnsi="Arial" w:cs="Arial"/>
        <w:color w:val="808080" w:themeColor="background1" w:themeShade="80"/>
        <w:sz w:val="18"/>
        <w:szCs w:val="18"/>
      </w:rPr>
      <w:instrText xml:space="preserve"> PAGE   \* MERGEFORMAT </w:instrText>
    </w:r>
    <w:r w:rsidRPr="00E64FA8">
      <w:rPr>
        <w:rFonts w:ascii="Arial" w:hAnsi="Arial" w:cs="Arial"/>
        <w:color w:val="808080" w:themeColor="background1" w:themeShade="80"/>
        <w:sz w:val="18"/>
        <w:szCs w:val="18"/>
      </w:rPr>
      <w:fldChar w:fldCharType="separate"/>
    </w:r>
    <w:r w:rsidR="00F90E3E">
      <w:rPr>
        <w:rFonts w:ascii="Arial" w:hAnsi="Arial" w:cs="Arial"/>
        <w:noProof/>
        <w:color w:val="808080" w:themeColor="background1" w:themeShade="80"/>
        <w:sz w:val="18"/>
        <w:szCs w:val="18"/>
      </w:rPr>
      <w:t>4</w:t>
    </w:r>
    <w:r w:rsidRPr="00E64FA8">
      <w:rPr>
        <w:rFonts w:ascii="Arial" w:hAnsi="Arial" w:cs="Arial"/>
        <w:color w:val="808080" w:themeColor="background1" w:themeShade="80"/>
        <w:sz w:val="18"/>
        <w:szCs w:val="18"/>
      </w:rPr>
      <w:fldChar w:fldCharType="end"/>
    </w:r>
    <w:r w:rsidRPr="00E64FA8">
      <w:rPr>
        <w:rFonts w:ascii="Arial" w:hAnsi="Arial" w:cs="Arial"/>
        <w:color w:val="808080" w:themeColor="background1" w:themeShade="80"/>
        <w:sz w:val="18"/>
        <w:szCs w:val="18"/>
      </w:rPr>
      <w:t xml:space="preserve"> of </w:t>
    </w:r>
    <w:r w:rsidRPr="00E64FA8">
      <w:rPr>
        <w:rFonts w:ascii="Arial" w:hAnsi="Arial" w:cs="Arial"/>
        <w:color w:val="808080" w:themeColor="background1" w:themeShade="80"/>
        <w:sz w:val="18"/>
        <w:szCs w:val="18"/>
      </w:rPr>
      <w:fldChar w:fldCharType="begin"/>
    </w:r>
    <w:r w:rsidRPr="00E64FA8">
      <w:rPr>
        <w:rFonts w:ascii="Arial" w:hAnsi="Arial" w:cs="Arial"/>
        <w:color w:val="808080" w:themeColor="background1" w:themeShade="80"/>
        <w:sz w:val="18"/>
        <w:szCs w:val="18"/>
      </w:rPr>
      <w:instrText xml:space="preserve"> NUMPAGES   \* MERGEFORMAT </w:instrText>
    </w:r>
    <w:r w:rsidRPr="00E64FA8">
      <w:rPr>
        <w:rFonts w:ascii="Arial" w:hAnsi="Arial" w:cs="Arial"/>
        <w:color w:val="808080" w:themeColor="background1" w:themeShade="80"/>
        <w:sz w:val="18"/>
        <w:szCs w:val="18"/>
      </w:rPr>
      <w:fldChar w:fldCharType="separate"/>
    </w:r>
    <w:r w:rsidR="00F90E3E">
      <w:rPr>
        <w:rFonts w:ascii="Arial" w:hAnsi="Arial" w:cs="Arial"/>
        <w:noProof/>
        <w:color w:val="808080" w:themeColor="background1" w:themeShade="80"/>
        <w:sz w:val="18"/>
        <w:szCs w:val="18"/>
      </w:rPr>
      <w:t>4</w:t>
    </w:r>
    <w:r w:rsidRPr="00E64FA8">
      <w:rPr>
        <w:rFonts w:ascii="Arial" w:hAnsi="Arial" w:cs="Arial"/>
        <w:color w:val="808080" w:themeColor="background1" w:themeShade="80"/>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411081" w14:textId="77777777" w:rsidR="00ED776A" w:rsidRDefault="00ED776A" w:rsidP="00D46581">
      <w:pPr>
        <w:spacing w:after="0" w:line="240" w:lineRule="auto"/>
      </w:pPr>
      <w:r>
        <w:separator/>
      </w:r>
    </w:p>
  </w:footnote>
  <w:footnote w:type="continuationSeparator" w:id="0">
    <w:p w14:paraId="07366C3A" w14:textId="77777777" w:rsidR="00ED776A" w:rsidRDefault="00ED776A" w:rsidP="00D4658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CC451" w14:textId="77777777" w:rsidR="00ED776A" w:rsidRDefault="00ED776A" w:rsidP="001B3BE3">
    <w:pPr>
      <w:pStyle w:val="En-tte"/>
    </w:pPr>
    <w:r>
      <w:rPr>
        <w:b/>
        <w:noProof/>
        <w:sz w:val="18"/>
        <w:szCs w:val="18"/>
        <w:lang w:val="fr-FR" w:eastAsia="fr-FR"/>
      </w:rPr>
      <w:drawing>
        <wp:inline distT="0" distB="0" distL="0" distR="0" wp14:anchorId="50DFAF09" wp14:editId="304AD159">
          <wp:extent cx="1558290" cy="571500"/>
          <wp:effectExtent l="0" t="0" r="3810" b="0"/>
          <wp:docPr id="23" name="Picture 23" descr="Centre for Aging and Brain Health Innovation, Powered by Baycrest" title="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tetda\AppData\Local\Microsoft\Windows\Temporary Internet Files\Content.Outlook\7P0GF8J7\CABHI_logo_v10_FNL LOGO_outlines (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29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3DE7"/>
    <w:multiLevelType w:val="hybridMultilevel"/>
    <w:tmpl w:val="DED8C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FF415A"/>
    <w:multiLevelType w:val="hybridMultilevel"/>
    <w:tmpl w:val="8F289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020831"/>
    <w:multiLevelType w:val="hybridMultilevel"/>
    <w:tmpl w:val="89EA3F96"/>
    <w:lvl w:ilvl="0" w:tplc="EFE4AF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F800FE"/>
    <w:multiLevelType w:val="hybridMultilevel"/>
    <w:tmpl w:val="F8CE7D80"/>
    <w:lvl w:ilvl="0" w:tplc="04090001">
      <w:start w:val="1"/>
      <w:numFmt w:val="bullet"/>
      <w:lvlText w:val=""/>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69661D"/>
    <w:multiLevelType w:val="hybridMultilevel"/>
    <w:tmpl w:val="FE98DA3A"/>
    <w:lvl w:ilvl="0" w:tplc="D59A1A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570C9D"/>
    <w:multiLevelType w:val="hybridMultilevel"/>
    <w:tmpl w:val="B71A03D0"/>
    <w:lvl w:ilvl="0" w:tplc="04090001">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302EAE"/>
    <w:multiLevelType w:val="hybridMultilevel"/>
    <w:tmpl w:val="069AB444"/>
    <w:lvl w:ilvl="0" w:tplc="18BA1B64">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71280F"/>
    <w:multiLevelType w:val="hybridMultilevel"/>
    <w:tmpl w:val="28A6C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252133"/>
    <w:multiLevelType w:val="hybridMultilevel"/>
    <w:tmpl w:val="C890F26C"/>
    <w:lvl w:ilvl="0" w:tplc="EFE4AF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271B92"/>
    <w:multiLevelType w:val="hybridMultilevel"/>
    <w:tmpl w:val="70D2C1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6001BD"/>
    <w:multiLevelType w:val="hybridMultilevel"/>
    <w:tmpl w:val="100CD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4414D3"/>
    <w:multiLevelType w:val="hybridMultilevel"/>
    <w:tmpl w:val="317237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D612B0"/>
    <w:multiLevelType w:val="hybridMultilevel"/>
    <w:tmpl w:val="640CB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6E768E"/>
    <w:multiLevelType w:val="hybridMultilevel"/>
    <w:tmpl w:val="28A6C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B7260C"/>
    <w:multiLevelType w:val="hybridMultilevel"/>
    <w:tmpl w:val="0B2E4EE8"/>
    <w:lvl w:ilvl="0" w:tplc="76D67CCE">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4E525C"/>
    <w:multiLevelType w:val="hybridMultilevel"/>
    <w:tmpl w:val="B18CEDE8"/>
    <w:lvl w:ilvl="0" w:tplc="0409000D">
      <w:start w:val="1"/>
      <w:numFmt w:val="bullet"/>
      <w:lvlText w:val=""/>
      <w:lvlJc w:val="left"/>
      <w:pPr>
        <w:ind w:left="1080" w:hanging="72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146E05"/>
    <w:multiLevelType w:val="hybridMultilevel"/>
    <w:tmpl w:val="100CD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16"/>
  </w:num>
  <w:num w:numId="4">
    <w:abstractNumId w:val="12"/>
  </w:num>
  <w:num w:numId="5">
    <w:abstractNumId w:val="10"/>
  </w:num>
  <w:num w:numId="6">
    <w:abstractNumId w:val="13"/>
  </w:num>
  <w:num w:numId="7">
    <w:abstractNumId w:val="0"/>
  </w:num>
  <w:num w:numId="8">
    <w:abstractNumId w:val="14"/>
  </w:num>
  <w:num w:numId="9">
    <w:abstractNumId w:val="3"/>
  </w:num>
  <w:num w:numId="10">
    <w:abstractNumId w:val="6"/>
  </w:num>
  <w:num w:numId="11">
    <w:abstractNumId w:val="11"/>
  </w:num>
  <w:num w:numId="12">
    <w:abstractNumId w:val="8"/>
  </w:num>
  <w:num w:numId="13">
    <w:abstractNumId w:val="5"/>
  </w:num>
  <w:num w:numId="14">
    <w:abstractNumId w:val="2"/>
  </w:num>
  <w:num w:numId="15">
    <w:abstractNumId w:val="4"/>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dirty"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AA0"/>
    <w:rsid w:val="00031760"/>
    <w:rsid w:val="000333B0"/>
    <w:rsid w:val="000A5B57"/>
    <w:rsid w:val="00121060"/>
    <w:rsid w:val="001A7DCF"/>
    <w:rsid w:val="001B3BE3"/>
    <w:rsid w:val="001F47E8"/>
    <w:rsid w:val="00215A0F"/>
    <w:rsid w:val="00230D91"/>
    <w:rsid w:val="00236A58"/>
    <w:rsid w:val="00245866"/>
    <w:rsid w:val="0026463E"/>
    <w:rsid w:val="002B0B92"/>
    <w:rsid w:val="002F2D4D"/>
    <w:rsid w:val="003003B8"/>
    <w:rsid w:val="00315828"/>
    <w:rsid w:val="003174F0"/>
    <w:rsid w:val="0034497E"/>
    <w:rsid w:val="0035282C"/>
    <w:rsid w:val="00395C9D"/>
    <w:rsid w:val="003D4EF8"/>
    <w:rsid w:val="00403DE5"/>
    <w:rsid w:val="00472E1C"/>
    <w:rsid w:val="004B5387"/>
    <w:rsid w:val="004E75D0"/>
    <w:rsid w:val="004F7F42"/>
    <w:rsid w:val="00507DCD"/>
    <w:rsid w:val="00520D5B"/>
    <w:rsid w:val="0052192A"/>
    <w:rsid w:val="00521B5D"/>
    <w:rsid w:val="00532C5C"/>
    <w:rsid w:val="005344E5"/>
    <w:rsid w:val="0054189C"/>
    <w:rsid w:val="00561B09"/>
    <w:rsid w:val="0056277B"/>
    <w:rsid w:val="0058397C"/>
    <w:rsid w:val="005B24DB"/>
    <w:rsid w:val="005E13E3"/>
    <w:rsid w:val="00617678"/>
    <w:rsid w:val="00623405"/>
    <w:rsid w:val="00676290"/>
    <w:rsid w:val="00694B42"/>
    <w:rsid w:val="006B1D62"/>
    <w:rsid w:val="006D4C0E"/>
    <w:rsid w:val="006E68DB"/>
    <w:rsid w:val="00712C73"/>
    <w:rsid w:val="00757ECB"/>
    <w:rsid w:val="007B173C"/>
    <w:rsid w:val="007B4536"/>
    <w:rsid w:val="008065F4"/>
    <w:rsid w:val="00813A21"/>
    <w:rsid w:val="00836CA4"/>
    <w:rsid w:val="008635D6"/>
    <w:rsid w:val="008710C1"/>
    <w:rsid w:val="008E7571"/>
    <w:rsid w:val="008F2BC4"/>
    <w:rsid w:val="00901C95"/>
    <w:rsid w:val="009139DA"/>
    <w:rsid w:val="00925C29"/>
    <w:rsid w:val="00933DE0"/>
    <w:rsid w:val="009679F4"/>
    <w:rsid w:val="009C6A64"/>
    <w:rsid w:val="009D6AB0"/>
    <w:rsid w:val="009D7A44"/>
    <w:rsid w:val="00A12BF7"/>
    <w:rsid w:val="00A34137"/>
    <w:rsid w:val="00AA4B58"/>
    <w:rsid w:val="00AC3174"/>
    <w:rsid w:val="00B02471"/>
    <w:rsid w:val="00B20EC0"/>
    <w:rsid w:val="00B40816"/>
    <w:rsid w:val="00B473E5"/>
    <w:rsid w:val="00B6420C"/>
    <w:rsid w:val="00B81AA0"/>
    <w:rsid w:val="00BD3812"/>
    <w:rsid w:val="00BF0350"/>
    <w:rsid w:val="00BF20EB"/>
    <w:rsid w:val="00C363FC"/>
    <w:rsid w:val="00C7528A"/>
    <w:rsid w:val="00C859B7"/>
    <w:rsid w:val="00C965D0"/>
    <w:rsid w:val="00CB4FC7"/>
    <w:rsid w:val="00CC4845"/>
    <w:rsid w:val="00D043C6"/>
    <w:rsid w:val="00D14583"/>
    <w:rsid w:val="00D46581"/>
    <w:rsid w:val="00D55CC5"/>
    <w:rsid w:val="00D56061"/>
    <w:rsid w:val="00D9339B"/>
    <w:rsid w:val="00DA1211"/>
    <w:rsid w:val="00DC0E4C"/>
    <w:rsid w:val="00DE45CB"/>
    <w:rsid w:val="00E508CF"/>
    <w:rsid w:val="00E52AA6"/>
    <w:rsid w:val="00E56C44"/>
    <w:rsid w:val="00E64FA8"/>
    <w:rsid w:val="00E805D3"/>
    <w:rsid w:val="00ED776A"/>
    <w:rsid w:val="00F3065D"/>
    <w:rsid w:val="00F67C9E"/>
    <w:rsid w:val="00F708E9"/>
    <w:rsid w:val="00F90E3E"/>
    <w:rsid w:val="00FB1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CF2D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97C"/>
  </w:style>
  <w:style w:type="paragraph" w:styleId="Titre1">
    <w:name w:val="heading 1"/>
    <w:basedOn w:val="Normal"/>
    <w:next w:val="Normal"/>
    <w:link w:val="Titre1Car"/>
    <w:uiPriority w:val="9"/>
    <w:qFormat/>
    <w:rsid w:val="00623405"/>
    <w:pPr>
      <w:keepNext/>
      <w:keepLines/>
      <w:spacing w:before="120" w:after="120" w:line="240" w:lineRule="auto"/>
      <w:outlineLvl w:val="0"/>
    </w:pPr>
    <w:rPr>
      <w:rFonts w:ascii="Arial" w:eastAsiaTheme="majorEastAsia" w:hAnsi="Arial" w:cstheme="majorBidi"/>
      <w:b/>
      <w:sz w:val="24"/>
      <w:szCs w:val="32"/>
    </w:rPr>
  </w:style>
  <w:style w:type="paragraph" w:styleId="Titre2">
    <w:name w:val="heading 2"/>
    <w:basedOn w:val="Normal"/>
    <w:next w:val="Normal"/>
    <w:link w:val="Titre2Car"/>
    <w:uiPriority w:val="9"/>
    <w:unhideWhenUsed/>
    <w:qFormat/>
    <w:rsid w:val="00623405"/>
    <w:pPr>
      <w:keepNext/>
      <w:keepLines/>
      <w:spacing w:before="120" w:after="120" w:line="240" w:lineRule="auto"/>
      <w:outlineLvl w:val="1"/>
    </w:pPr>
    <w:rPr>
      <w:rFonts w:ascii="Arial" w:eastAsiaTheme="majorEastAsia" w:hAnsi="Arial" w:cstheme="majorBidi"/>
      <w:b/>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1AA0"/>
    <w:pPr>
      <w:ind w:left="720"/>
      <w:contextualSpacing/>
    </w:pPr>
  </w:style>
  <w:style w:type="paragraph" w:styleId="En-tte">
    <w:name w:val="header"/>
    <w:basedOn w:val="Normal"/>
    <w:link w:val="En-tteCar"/>
    <w:uiPriority w:val="99"/>
    <w:unhideWhenUsed/>
    <w:rsid w:val="00D46581"/>
    <w:pPr>
      <w:tabs>
        <w:tab w:val="center" w:pos="4680"/>
        <w:tab w:val="right" w:pos="9360"/>
      </w:tabs>
      <w:spacing w:after="0" w:line="240" w:lineRule="auto"/>
    </w:pPr>
  </w:style>
  <w:style w:type="character" w:customStyle="1" w:styleId="En-tteCar">
    <w:name w:val="En-tête Car"/>
    <w:basedOn w:val="Policepardfaut"/>
    <w:link w:val="En-tte"/>
    <w:uiPriority w:val="99"/>
    <w:rsid w:val="00D46581"/>
  </w:style>
  <w:style w:type="paragraph" w:styleId="Pieddepage">
    <w:name w:val="footer"/>
    <w:basedOn w:val="Normal"/>
    <w:link w:val="PieddepageCar"/>
    <w:uiPriority w:val="99"/>
    <w:unhideWhenUsed/>
    <w:rsid w:val="00D46581"/>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46581"/>
  </w:style>
  <w:style w:type="paragraph" w:styleId="Textedebulles">
    <w:name w:val="Balloon Text"/>
    <w:basedOn w:val="Normal"/>
    <w:link w:val="TextedebullesCar"/>
    <w:uiPriority w:val="99"/>
    <w:semiHidden/>
    <w:unhideWhenUsed/>
    <w:rsid w:val="00D465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6581"/>
    <w:rPr>
      <w:rFonts w:ascii="Tahoma" w:hAnsi="Tahoma" w:cs="Tahoma"/>
      <w:sz w:val="16"/>
      <w:szCs w:val="16"/>
    </w:rPr>
  </w:style>
  <w:style w:type="table" w:styleId="Grille">
    <w:name w:val="Table Grid"/>
    <w:basedOn w:val="TableauNormal"/>
    <w:uiPriority w:val="59"/>
    <w:rsid w:val="00BF20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56277B"/>
    <w:rPr>
      <w:color w:val="0000FF"/>
      <w:u w:val="single"/>
    </w:rPr>
  </w:style>
  <w:style w:type="character" w:customStyle="1" w:styleId="Titre1Car">
    <w:name w:val="Titre 1 Car"/>
    <w:basedOn w:val="Policepardfaut"/>
    <w:link w:val="Titre1"/>
    <w:uiPriority w:val="9"/>
    <w:rsid w:val="00623405"/>
    <w:rPr>
      <w:rFonts w:ascii="Arial" w:eastAsiaTheme="majorEastAsia" w:hAnsi="Arial" w:cstheme="majorBidi"/>
      <w:b/>
      <w:sz w:val="24"/>
      <w:szCs w:val="32"/>
    </w:rPr>
  </w:style>
  <w:style w:type="character" w:customStyle="1" w:styleId="Titre2Car">
    <w:name w:val="Titre 2 Car"/>
    <w:basedOn w:val="Policepardfaut"/>
    <w:link w:val="Titre2"/>
    <w:uiPriority w:val="9"/>
    <w:rsid w:val="00623405"/>
    <w:rPr>
      <w:rFonts w:ascii="Arial" w:eastAsiaTheme="majorEastAsia" w:hAnsi="Arial" w:cstheme="majorBidi"/>
      <w:b/>
      <w:szCs w:val="26"/>
    </w:rPr>
  </w:style>
  <w:style w:type="paragraph" w:styleId="Titre">
    <w:name w:val="Title"/>
    <w:basedOn w:val="Normal"/>
    <w:next w:val="Normal"/>
    <w:link w:val="TitreCar"/>
    <w:uiPriority w:val="10"/>
    <w:qFormat/>
    <w:rsid w:val="00E805D3"/>
    <w:pPr>
      <w:spacing w:before="120" w:after="120" w:line="240" w:lineRule="auto"/>
      <w:contextualSpacing/>
      <w:jc w:val="center"/>
    </w:pPr>
    <w:rPr>
      <w:rFonts w:ascii="Arial" w:eastAsiaTheme="majorEastAsia" w:hAnsi="Arial" w:cstheme="majorBidi"/>
      <w:b/>
      <w:spacing w:val="-10"/>
      <w:kern w:val="28"/>
      <w:sz w:val="32"/>
      <w:szCs w:val="56"/>
    </w:rPr>
  </w:style>
  <w:style w:type="character" w:customStyle="1" w:styleId="TitreCar">
    <w:name w:val="Titre Car"/>
    <w:basedOn w:val="Policepardfaut"/>
    <w:link w:val="Titre"/>
    <w:uiPriority w:val="10"/>
    <w:rsid w:val="00E805D3"/>
    <w:rPr>
      <w:rFonts w:ascii="Arial" w:eastAsiaTheme="majorEastAsia" w:hAnsi="Arial" w:cstheme="majorBidi"/>
      <w:b/>
      <w:spacing w:val="-10"/>
      <w:kern w:val="28"/>
      <w:sz w:val="32"/>
      <w:szCs w:val="56"/>
    </w:rPr>
  </w:style>
  <w:style w:type="paragraph" w:styleId="Sous-titre">
    <w:name w:val="Subtitle"/>
    <w:basedOn w:val="Normal"/>
    <w:next w:val="Normal"/>
    <w:link w:val="Sous-titreCar"/>
    <w:uiPriority w:val="11"/>
    <w:qFormat/>
    <w:rsid w:val="00E805D3"/>
    <w:pPr>
      <w:numPr>
        <w:ilvl w:val="1"/>
      </w:numPr>
      <w:spacing w:before="120" w:after="280"/>
      <w:jc w:val="center"/>
    </w:pPr>
    <w:rPr>
      <w:rFonts w:ascii="Arial" w:eastAsiaTheme="minorEastAsia" w:hAnsi="Arial"/>
      <w:b/>
      <w:spacing w:val="15"/>
      <w:sz w:val="28"/>
    </w:rPr>
  </w:style>
  <w:style w:type="character" w:customStyle="1" w:styleId="Sous-titreCar">
    <w:name w:val="Sous-titre Car"/>
    <w:basedOn w:val="Policepardfaut"/>
    <w:link w:val="Sous-titre"/>
    <w:uiPriority w:val="11"/>
    <w:rsid w:val="00E805D3"/>
    <w:rPr>
      <w:rFonts w:ascii="Arial" w:eastAsiaTheme="minorEastAsia" w:hAnsi="Arial"/>
      <w:b/>
      <w:spacing w:val="15"/>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97C"/>
  </w:style>
  <w:style w:type="paragraph" w:styleId="Titre1">
    <w:name w:val="heading 1"/>
    <w:basedOn w:val="Normal"/>
    <w:next w:val="Normal"/>
    <w:link w:val="Titre1Car"/>
    <w:uiPriority w:val="9"/>
    <w:qFormat/>
    <w:rsid w:val="00623405"/>
    <w:pPr>
      <w:keepNext/>
      <w:keepLines/>
      <w:spacing w:before="120" w:after="120" w:line="240" w:lineRule="auto"/>
      <w:outlineLvl w:val="0"/>
    </w:pPr>
    <w:rPr>
      <w:rFonts w:ascii="Arial" w:eastAsiaTheme="majorEastAsia" w:hAnsi="Arial" w:cstheme="majorBidi"/>
      <w:b/>
      <w:sz w:val="24"/>
      <w:szCs w:val="32"/>
    </w:rPr>
  </w:style>
  <w:style w:type="paragraph" w:styleId="Titre2">
    <w:name w:val="heading 2"/>
    <w:basedOn w:val="Normal"/>
    <w:next w:val="Normal"/>
    <w:link w:val="Titre2Car"/>
    <w:uiPriority w:val="9"/>
    <w:unhideWhenUsed/>
    <w:qFormat/>
    <w:rsid w:val="00623405"/>
    <w:pPr>
      <w:keepNext/>
      <w:keepLines/>
      <w:spacing w:before="120" w:after="120" w:line="240" w:lineRule="auto"/>
      <w:outlineLvl w:val="1"/>
    </w:pPr>
    <w:rPr>
      <w:rFonts w:ascii="Arial" w:eastAsiaTheme="majorEastAsia" w:hAnsi="Arial" w:cstheme="majorBidi"/>
      <w:b/>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1AA0"/>
    <w:pPr>
      <w:ind w:left="720"/>
      <w:contextualSpacing/>
    </w:pPr>
  </w:style>
  <w:style w:type="paragraph" w:styleId="En-tte">
    <w:name w:val="header"/>
    <w:basedOn w:val="Normal"/>
    <w:link w:val="En-tteCar"/>
    <w:uiPriority w:val="99"/>
    <w:unhideWhenUsed/>
    <w:rsid w:val="00D46581"/>
    <w:pPr>
      <w:tabs>
        <w:tab w:val="center" w:pos="4680"/>
        <w:tab w:val="right" w:pos="9360"/>
      </w:tabs>
      <w:spacing w:after="0" w:line="240" w:lineRule="auto"/>
    </w:pPr>
  </w:style>
  <w:style w:type="character" w:customStyle="1" w:styleId="En-tteCar">
    <w:name w:val="En-tête Car"/>
    <w:basedOn w:val="Policepardfaut"/>
    <w:link w:val="En-tte"/>
    <w:uiPriority w:val="99"/>
    <w:rsid w:val="00D46581"/>
  </w:style>
  <w:style w:type="paragraph" w:styleId="Pieddepage">
    <w:name w:val="footer"/>
    <w:basedOn w:val="Normal"/>
    <w:link w:val="PieddepageCar"/>
    <w:uiPriority w:val="99"/>
    <w:unhideWhenUsed/>
    <w:rsid w:val="00D46581"/>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46581"/>
  </w:style>
  <w:style w:type="paragraph" w:styleId="Textedebulles">
    <w:name w:val="Balloon Text"/>
    <w:basedOn w:val="Normal"/>
    <w:link w:val="TextedebullesCar"/>
    <w:uiPriority w:val="99"/>
    <w:semiHidden/>
    <w:unhideWhenUsed/>
    <w:rsid w:val="00D465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6581"/>
    <w:rPr>
      <w:rFonts w:ascii="Tahoma" w:hAnsi="Tahoma" w:cs="Tahoma"/>
      <w:sz w:val="16"/>
      <w:szCs w:val="16"/>
    </w:rPr>
  </w:style>
  <w:style w:type="table" w:styleId="Grille">
    <w:name w:val="Table Grid"/>
    <w:basedOn w:val="TableauNormal"/>
    <w:uiPriority w:val="59"/>
    <w:rsid w:val="00BF20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56277B"/>
    <w:rPr>
      <w:color w:val="0000FF"/>
      <w:u w:val="single"/>
    </w:rPr>
  </w:style>
  <w:style w:type="character" w:customStyle="1" w:styleId="Titre1Car">
    <w:name w:val="Titre 1 Car"/>
    <w:basedOn w:val="Policepardfaut"/>
    <w:link w:val="Titre1"/>
    <w:uiPriority w:val="9"/>
    <w:rsid w:val="00623405"/>
    <w:rPr>
      <w:rFonts w:ascii="Arial" w:eastAsiaTheme="majorEastAsia" w:hAnsi="Arial" w:cstheme="majorBidi"/>
      <w:b/>
      <w:sz w:val="24"/>
      <w:szCs w:val="32"/>
    </w:rPr>
  </w:style>
  <w:style w:type="character" w:customStyle="1" w:styleId="Titre2Car">
    <w:name w:val="Titre 2 Car"/>
    <w:basedOn w:val="Policepardfaut"/>
    <w:link w:val="Titre2"/>
    <w:uiPriority w:val="9"/>
    <w:rsid w:val="00623405"/>
    <w:rPr>
      <w:rFonts w:ascii="Arial" w:eastAsiaTheme="majorEastAsia" w:hAnsi="Arial" w:cstheme="majorBidi"/>
      <w:b/>
      <w:szCs w:val="26"/>
    </w:rPr>
  </w:style>
  <w:style w:type="paragraph" w:styleId="Titre">
    <w:name w:val="Title"/>
    <w:basedOn w:val="Normal"/>
    <w:next w:val="Normal"/>
    <w:link w:val="TitreCar"/>
    <w:uiPriority w:val="10"/>
    <w:qFormat/>
    <w:rsid w:val="00E805D3"/>
    <w:pPr>
      <w:spacing w:before="120" w:after="120" w:line="240" w:lineRule="auto"/>
      <w:contextualSpacing/>
      <w:jc w:val="center"/>
    </w:pPr>
    <w:rPr>
      <w:rFonts w:ascii="Arial" w:eastAsiaTheme="majorEastAsia" w:hAnsi="Arial" w:cstheme="majorBidi"/>
      <w:b/>
      <w:spacing w:val="-10"/>
      <w:kern w:val="28"/>
      <w:sz w:val="32"/>
      <w:szCs w:val="56"/>
    </w:rPr>
  </w:style>
  <w:style w:type="character" w:customStyle="1" w:styleId="TitreCar">
    <w:name w:val="Titre Car"/>
    <w:basedOn w:val="Policepardfaut"/>
    <w:link w:val="Titre"/>
    <w:uiPriority w:val="10"/>
    <w:rsid w:val="00E805D3"/>
    <w:rPr>
      <w:rFonts w:ascii="Arial" w:eastAsiaTheme="majorEastAsia" w:hAnsi="Arial" w:cstheme="majorBidi"/>
      <w:b/>
      <w:spacing w:val="-10"/>
      <w:kern w:val="28"/>
      <w:sz w:val="32"/>
      <w:szCs w:val="56"/>
    </w:rPr>
  </w:style>
  <w:style w:type="paragraph" w:styleId="Sous-titre">
    <w:name w:val="Subtitle"/>
    <w:basedOn w:val="Normal"/>
    <w:next w:val="Normal"/>
    <w:link w:val="Sous-titreCar"/>
    <w:uiPriority w:val="11"/>
    <w:qFormat/>
    <w:rsid w:val="00E805D3"/>
    <w:pPr>
      <w:numPr>
        <w:ilvl w:val="1"/>
      </w:numPr>
      <w:spacing w:before="120" w:after="280"/>
      <w:jc w:val="center"/>
    </w:pPr>
    <w:rPr>
      <w:rFonts w:ascii="Arial" w:eastAsiaTheme="minorEastAsia" w:hAnsi="Arial"/>
      <w:b/>
      <w:spacing w:val="15"/>
      <w:sz w:val="28"/>
    </w:rPr>
  </w:style>
  <w:style w:type="character" w:customStyle="1" w:styleId="Sous-titreCar">
    <w:name w:val="Sous-titre Car"/>
    <w:basedOn w:val="Policepardfaut"/>
    <w:link w:val="Sous-titre"/>
    <w:uiPriority w:val="11"/>
    <w:rsid w:val="00E805D3"/>
    <w:rPr>
      <w:rFonts w:ascii="Arial" w:eastAsiaTheme="minorEastAsia" w:hAnsi="Arial"/>
      <w:b/>
      <w:spacing w:val="1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info@cabhi.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76CA0-EFB8-FD43-AD7E-911469B73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1247</Words>
  <Characters>7288</Characters>
  <Application>Microsoft Macintosh Word</Application>
  <DocSecurity>0</DocSecurity>
  <Lines>383</Lines>
  <Paragraphs>258</Paragraphs>
  <ScaleCrop>false</ScaleCrop>
  <HeadingPairs>
    <vt:vector size="2" baseType="variant">
      <vt:variant>
        <vt:lpstr>Title</vt:lpstr>
      </vt:variant>
      <vt:variant>
        <vt:i4>1</vt:i4>
      </vt:variant>
    </vt:vector>
  </HeadingPairs>
  <TitlesOfParts>
    <vt:vector size="1" baseType="lpstr">
      <vt:lpstr/>
    </vt:vector>
  </TitlesOfParts>
  <Company>Baycrest</Company>
  <LinksUpToDate>false</LinksUpToDate>
  <CharactersWithSpaces>8277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Ryan (2360)</dc:creator>
  <cp:keywords/>
  <dc:description/>
  <cp:lastModifiedBy>Christine 'xine' Vilcocq</cp:lastModifiedBy>
  <cp:revision>8</cp:revision>
  <cp:lastPrinted>2018-02-05T18:05:00Z</cp:lastPrinted>
  <dcterms:created xsi:type="dcterms:W3CDTF">2018-06-15T19:33:00Z</dcterms:created>
  <dcterms:modified xsi:type="dcterms:W3CDTF">2018-06-15T20:04:00Z</dcterms:modified>
</cp:coreProperties>
</file>