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08662" w14:textId="77777777" w:rsidR="00B81AA0" w:rsidRPr="00E805D3" w:rsidRDefault="00836CA4" w:rsidP="00E805D3">
      <w:pPr>
        <w:pStyle w:val="Title"/>
      </w:pPr>
      <w:r>
        <w:t>Programme du CABHI – Propositions d’innovation</w:t>
      </w:r>
    </w:p>
    <w:p w14:paraId="4F105350" w14:textId="77777777" w:rsidR="001B3BE3" w:rsidRPr="00E805D3" w:rsidRDefault="00933DE0" w:rsidP="00E805D3">
      <w:pPr>
        <w:pStyle w:val="Subtitle"/>
      </w:pPr>
      <w:bookmarkStart w:id="0" w:name="_GoBack"/>
      <w:r>
        <w:t xml:space="preserve">Directives relatives aux dépenses admissibles </w:t>
      </w:r>
    </w:p>
    <w:bookmarkEnd w:id="0"/>
    <w:p w14:paraId="40590B9D" w14:textId="77777777" w:rsidR="00933DE0" w:rsidRDefault="00933DE0" w:rsidP="00933DE0">
      <w:pPr>
        <w:spacing w:after="0" w:line="240" w:lineRule="auto"/>
        <w:jc w:val="center"/>
        <w:rPr>
          <w:rFonts w:ascii="Arial" w:hAnsi="Arial" w:cs="Arial"/>
          <w:b/>
          <w:bCs/>
          <w:color w:val="E36C0A" w:themeColor="accent6" w:themeShade="BF"/>
          <w:sz w:val="24"/>
        </w:rPr>
      </w:pPr>
    </w:p>
    <w:p w14:paraId="331F60ED" w14:textId="77777777" w:rsidR="002B0B92" w:rsidRPr="00933DE0" w:rsidRDefault="002B0B92" w:rsidP="003D4EF8">
      <w:pPr>
        <w:pStyle w:val="Heading1"/>
      </w:pPr>
      <w:r>
        <w:t>PRINCIPES :</w:t>
      </w:r>
    </w:p>
    <w:p w14:paraId="55D6243C" w14:textId="77777777" w:rsidR="002B0B92" w:rsidRPr="001B3BE3" w:rsidRDefault="002B0B92" w:rsidP="002B0B92">
      <w:pPr>
        <w:spacing w:after="0" w:line="240" w:lineRule="auto"/>
        <w:rPr>
          <w:rFonts w:ascii="Arial" w:hAnsi="Arial" w:cs="Arial"/>
        </w:rPr>
      </w:pPr>
    </w:p>
    <w:p w14:paraId="1338FE39" w14:textId="77777777" w:rsidR="002B0B92" w:rsidRPr="001B3BE3" w:rsidRDefault="002B0B92" w:rsidP="001B3BE3">
      <w:pPr>
        <w:pStyle w:val="ListParagraph"/>
        <w:numPr>
          <w:ilvl w:val="0"/>
          <w:numId w:val="3"/>
        </w:numPr>
        <w:spacing w:after="0"/>
        <w:jc w:val="both"/>
        <w:rPr>
          <w:rFonts w:ascii="Arial" w:hAnsi="Arial" w:cs="Arial"/>
          <w:sz w:val="20"/>
        </w:rPr>
      </w:pPr>
      <w:r>
        <w:rPr>
          <w:rFonts w:ascii="Arial" w:hAnsi="Arial"/>
          <w:sz w:val="20"/>
        </w:rPr>
        <w:t>Tous les fonds doivent être utilisés de façon efficace, économique, et seront gérés conformément à la gestion éthique des fonds publics.</w:t>
      </w:r>
    </w:p>
    <w:p w14:paraId="0C7D7DD1" w14:textId="77777777" w:rsidR="002B0B92" w:rsidRPr="001B3BE3" w:rsidRDefault="002B0B92" w:rsidP="001B3BE3">
      <w:pPr>
        <w:spacing w:after="0"/>
        <w:jc w:val="both"/>
        <w:rPr>
          <w:rFonts w:ascii="Arial" w:hAnsi="Arial" w:cs="Arial"/>
          <w:sz w:val="20"/>
        </w:rPr>
      </w:pPr>
    </w:p>
    <w:p w14:paraId="45507BBD" w14:textId="77777777" w:rsidR="002B0B92" w:rsidRPr="001B3BE3" w:rsidRDefault="002B0B92" w:rsidP="001B3BE3">
      <w:pPr>
        <w:pStyle w:val="ListParagraph"/>
        <w:numPr>
          <w:ilvl w:val="0"/>
          <w:numId w:val="3"/>
        </w:numPr>
        <w:spacing w:after="0"/>
        <w:jc w:val="both"/>
        <w:rPr>
          <w:rFonts w:ascii="Arial" w:hAnsi="Arial" w:cs="Arial"/>
          <w:sz w:val="20"/>
        </w:rPr>
      </w:pPr>
      <w:r>
        <w:rPr>
          <w:rFonts w:ascii="Arial" w:hAnsi="Arial"/>
          <w:sz w:val="20"/>
        </w:rPr>
        <w:t>Les fonds doivent contribuer aux coûts directs du projet pour lequel les fonds ont été accordés, et les avantages doivent être directement attribuables au projet.</w:t>
      </w:r>
    </w:p>
    <w:p w14:paraId="3BA7E012" w14:textId="77777777" w:rsidR="002B0B92" w:rsidRPr="001B3BE3" w:rsidRDefault="002B0B92" w:rsidP="001B3BE3">
      <w:pPr>
        <w:pStyle w:val="ListParagraph"/>
        <w:jc w:val="both"/>
        <w:rPr>
          <w:rFonts w:ascii="Arial" w:hAnsi="Arial" w:cs="Arial"/>
          <w:sz w:val="20"/>
        </w:rPr>
      </w:pPr>
    </w:p>
    <w:p w14:paraId="324BE749" w14:textId="77777777" w:rsidR="002B0B92" w:rsidRPr="001B3BE3" w:rsidRDefault="002B0B92" w:rsidP="001B3BE3">
      <w:pPr>
        <w:pStyle w:val="ListParagraph"/>
        <w:numPr>
          <w:ilvl w:val="0"/>
          <w:numId w:val="3"/>
        </w:numPr>
        <w:spacing w:after="0"/>
        <w:jc w:val="both"/>
        <w:rPr>
          <w:rFonts w:ascii="Arial" w:hAnsi="Arial" w:cs="Arial"/>
          <w:sz w:val="20"/>
        </w:rPr>
      </w:pPr>
      <w:r>
        <w:rPr>
          <w:rFonts w:ascii="Arial" w:hAnsi="Arial"/>
          <w:sz w:val="20"/>
        </w:rPr>
        <w:t xml:space="preserve">L’affectation de personnel existant ou la répartition de dépenses d'exploitation au projet ne constitue </w:t>
      </w:r>
      <w:r>
        <w:rPr>
          <w:rFonts w:ascii="Arial" w:hAnsi="Arial"/>
          <w:sz w:val="20"/>
          <w:u w:val="single"/>
        </w:rPr>
        <w:t>pas</w:t>
      </w:r>
      <w:r>
        <w:rPr>
          <w:rFonts w:ascii="Arial" w:hAnsi="Arial"/>
          <w:sz w:val="20"/>
        </w:rPr>
        <w:t xml:space="preserve"> des dépenses admissibles, sauf si elles sont clairement identifiables et attribuables au projet.</w:t>
      </w:r>
    </w:p>
    <w:p w14:paraId="24F49FB5" w14:textId="77777777" w:rsidR="002B0B92" w:rsidRPr="001B3BE3" w:rsidRDefault="002B0B92" w:rsidP="001B3BE3">
      <w:pPr>
        <w:pStyle w:val="ListParagraph"/>
        <w:spacing w:after="0"/>
        <w:jc w:val="both"/>
        <w:rPr>
          <w:rFonts w:ascii="Arial" w:hAnsi="Arial" w:cs="Arial"/>
          <w:sz w:val="20"/>
        </w:rPr>
      </w:pPr>
    </w:p>
    <w:p w14:paraId="579FA178" w14:textId="77777777" w:rsidR="002B0B92" w:rsidRPr="001B3BE3" w:rsidRDefault="002B0B92" w:rsidP="001B3BE3">
      <w:pPr>
        <w:pStyle w:val="ListParagraph"/>
        <w:numPr>
          <w:ilvl w:val="0"/>
          <w:numId w:val="3"/>
        </w:numPr>
        <w:spacing w:after="0"/>
        <w:jc w:val="both"/>
        <w:rPr>
          <w:rFonts w:ascii="Arial" w:hAnsi="Arial" w:cs="Arial"/>
          <w:sz w:val="20"/>
        </w:rPr>
      </w:pPr>
      <w:r>
        <w:rPr>
          <w:rFonts w:ascii="Arial" w:hAnsi="Arial"/>
          <w:sz w:val="20"/>
        </w:rPr>
        <w:t xml:space="preserve">L’organisme hôte prévoit les coûts indirects ou les frais généraux, comme les coûts associés à la fourniture d’installations et de services de base, à l’achat et à la réparation de matériel et de mobilier de bureau, aux frais d’administration, aux assurances, et à la fourniture d’appareils de communication de base comme les téléphones, les ordinateurs et les télécopieurs. Les coûts indirects ou les frais généraux font référence aux dépenses courantes liées à l’exploitation d’un organisme hôte et </w:t>
      </w:r>
      <w:r>
        <w:rPr>
          <w:rFonts w:ascii="Arial" w:hAnsi="Arial"/>
          <w:sz w:val="20"/>
          <w:u w:val="single"/>
        </w:rPr>
        <w:t>ne peuvent pas</w:t>
      </w:r>
      <w:r>
        <w:rPr>
          <w:rFonts w:ascii="Arial" w:hAnsi="Arial"/>
          <w:sz w:val="20"/>
        </w:rPr>
        <w:t xml:space="preserve"> être associés aux coûts directs du projet pour lequel les fonds ont été accordés.</w:t>
      </w:r>
    </w:p>
    <w:p w14:paraId="220253B5" w14:textId="77777777" w:rsidR="002B0B92" w:rsidRPr="001B3BE3" w:rsidRDefault="002B0B92" w:rsidP="001B3BE3">
      <w:pPr>
        <w:pStyle w:val="ListParagraph"/>
        <w:spacing w:after="0"/>
        <w:jc w:val="both"/>
        <w:rPr>
          <w:rFonts w:ascii="Arial" w:hAnsi="Arial" w:cs="Arial"/>
          <w:sz w:val="20"/>
        </w:rPr>
      </w:pPr>
    </w:p>
    <w:p w14:paraId="4E521BCC" w14:textId="77777777" w:rsidR="002B0B92" w:rsidRPr="005B24DB" w:rsidRDefault="00D14583" w:rsidP="005B24DB">
      <w:pPr>
        <w:pStyle w:val="ListParagraph"/>
        <w:numPr>
          <w:ilvl w:val="0"/>
          <w:numId w:val="3"/>
        </w:numPr>
        <w:jc w:val="both"/>
        <w:rPr>
          <w:rFonts w:ascii="Arial" w:hAnsi="Arial" w:cs="Arial"/>
          <w:sz w:val="20"/>
        </w:rPr>
      </w:pPr>
      <w:bookmarkStart w:id="1" w:name="_Hlk505676023"/>
      <w:r>
        <w:rPr>
          <w:rFonts w:ascii="Arial" w:hAnsi="Arial"/>
          <w:sz w:val="20"/>
        </w:rPr>
        <w:t xml:space="preserve">Tous les déplacements doivent toujours s’effectuer selon le mode de transport le plus pratique et économique offert. Lorsque la voie aérienne représente la méthode la plus pratique et économique, seul le coût d’un vol en classe économique sera payé avec les fonds fournis. Tout déplacement doit être préapprouvé par écrit par le CABHI; cette approbation peut être accordée conformément à un programme de voyage lié au projet soumis par le bénéficiaire ou se refléter dans la </w:t>
      </w:r>
      <w:r>
        <w:rPr>
          <w:rFonts w:ascii="Arial" w:hAnsi="Arial"/>
          <w:sz w:val="20"/>
          <w:u w:val="single"/>
        </w:rPr>
        <w:t>charte de projet finale</w:t>
      </w:r>
      <w:r>
        <w:rPr>
          <w:rFonts w:ascii="Arial" w:hAnsi="Arial"/>
          <w:sz w:val="20"/>
        </w:rPr>
        <w:t>.</w:t>
      </w:r>
    </w:p>
    <w:bookmarkEnd w:id="1"/>
    <w:p w14:paraId="3F01412B" w14:textId="77777777" w:rsidR="002B0B92" w:rsidRPr="001B3BE3" w:rsidRDefault="002B0B92" w:rsidP="001B3BE3">
      <w:pPr>
        <w:pStyle w:val="ListParagraph"/>
        <w:jc w:val="both"/>
        <w:rPr>
          <w:rFonts w:ascii="Arial" w:hAnsi="Arial" w:cs="Arial"/>
          <w:sz w:val="20"/>
        </w:rPr>
      </w:pPr>
    </w:p>
    <w:p w14:paraId="2E2DE337" w14:textId="77777777" w:rsidR="002B0B92" w:rsidRDefault="002B0B92" w:rsidP="001B3BE3">
      <w:pPr>
        <w:pStyle w:val="ListParagraph"/>
        <w:numPr>
          <w:ilvl w:val="0"/>
          <w:numId w:val="3"/>
        </w:numPr>
        <w:spacing w:after="0"/>
        <w:jc w:val="both"/>
        <w:rPr>
          <w:rFonts w:ascii="Arial" w:hAnsi="Arial" w:cs="Arial"/>
          <w:sz w:val="20"/>
        </w:rPr>
      </w:pPr>
      <w:r>
        <w:rPr>
          <w:rFonts w:ascii="Arial" w:hAnsi="Arial"/>
          <w:sz w:val="20"/>
        </w:rPr>
        <w:t>Les biens d'équipement requis pour soutenir le projet ne peuvent pas dépasser 20 % du coût total du projet.</w:t>
      </w:r>
    </w:p>
    <w:p w14:paraId="31729198" w14:textId="77777777" w:rsidR="00F67C9E" w:rsidRPr="00F67C9E" w:rsidRDefault="00F67C9E" w:rsidP="00F67C9E">
      <w:pPr>
        <w:pStyle w:val="ListParagraph"/>
        <w:rPr>
          <w:rFonts w:ascii="Arial" w:hAnsi="Arial" w:cs="Arial"/>
          <w:sz w:val="20"/>
        </w:rPr>
      </w:pPr>
    </w:p>
    <w:p w14:paraId="13483B2E" w14:textId="77777777" w:rsidR="00F67C9E" w:rsidRPr="001B3BE3" w:rsidRDefault="00F67C9E" w:rsidP="001B3BE3">
      <w:pPr>
        <w:pStyle w:val="ListParagraph"/>
        <w:numPr>
          <w:ilvl w:val="0"/>
          <w:numId w:val="3"/>
        </w:numPr>
        <w:spacing w:after="0"/>
        <w:jc w:val="both"/>
        <w:rPr>
          <w:rFonts w:ascii="Arial" w:hAnsi="Arial" w:cs="Arial"/>
          <w:sz w:val="20"/>
        </w:rPr>
      </w:pPr>
      <w:r>
        <w:rPr>
          <w:rFonts w:ascii="Arial" w:hAnsi="Arial"/>
          <w:sz w:val="20"/>
        </w:rPr>
        <w:t>La préparation du site, les travaux de préproduction ou les essais de préparation du produit ne peuvent pas dépasser 20 % du coût total du projet.</w:t>
      </w:r>
    </w:p>
    <w:p w14:paraId="551307B6" w14:textId="77777777" w:rsidR="002B0B92" w:rsidRPr="001B3BE3" w:rsidRDefault="002B0B92" w:rsidP="001B3BE3">
      <w:pPr>
        <w:pStyle w:val="ListParagraph"/>
        <w:jc w:val="both"/>
        <w:rPr>
          <w:rFonts w:ascii="Arial" w:hAnsi="Arial" w:cs="Arial"/>
          <w:sz w:val="20"/>
        </w:rPr>
      </w:pPr>
    </w:p>
    <w:p w14:paraId="561BAD34" w14:textId="77777777" w:rsidR="002B0B92" w:rsidRPr="001B3BE3" w:rsidRDefault="002B0B92" w:rsidP="001B3BE3">
      <w:pPr>
        <w:pStyle w:val="ListParagraph"/>
        <w:numPr>
          <w:ilvl w:val="0"/>
          <w:numId w:val="3"/>
        </w:numPr>
        <w:spacing w:after="0"/>
        <w:jc w:val="both"/>
        <w:rPr>
          <w:rFonts w:ascii="Arial" w:hAnsi="Arial" w:cs="Arial"/>
          <w:sz w:val="20"/>
        </w:rPr>
      </w:pPr>
      <w:r>
        <w:rPr>
          <w:rFonts w:ascii="Arial" w:hAnsi="Arial"/>
          <w:sz w:val="20"/>
        </w:rPr>
        <w:t>Le bénéficiaire doit conserver et tenir à jour tous les documents financiers (y compris les factures détaillées) et tous les autres documents non financiers relatifs au projet conformément aux principes comptables généralement reconnus.</w:t>
      </w:r>
    </w:p>
    <w:p w14:paraId="7ED086CB" w14:textId="77777777" w:rsidR="002B0B92" w:rsidRPr="001B3BE3" w:rsidRDefault="002B0B92" w:rsidP="001B3BE3">
      <w:pPr>
        <w:spacing w:after="0"/>
        <w:jc w:val="both"/>
        <w:rPr>
          <w:rFonts w:ascii="Arial" w:hAnsi="Arial" w:cs="Arial"/>
          <w:sz w:val="20"/>
        </w:rPr>
      </w:pPr>
    </w:p>
    <w:p w14:paraId="20D010F6" w14:textId="77777777" w:rsidR="002B0B92" w:rsidRPr="001B3BE3" w:rsidRDefault="002B0B92" w:rsidP="001B3BE3">
      <w:pPr>
        <w:pStyle w:val="ListParagraph"/>
        <w:numPr>
          <w:ilvl w:val="0"/>
          <w:numId w:val="3"/>
        </w:numPr>
        <w:spacing w:after="0"/>
        <w:jc w:val="both"/>
        <w:rPr>
          <w:rFonts w:ascii="Arial" w:hAnsi="Arial" w:cs="Arial"/>
          <w:sz w:val="20"/>
        </w:rPr>
      </w:pPr>
      <w:r>
        <w:rPr>
          <w:rFonts w:ascii="Arial" w:hAnsi="Arial"/>
          <w:sz w:val="20"/>
        </w:rPr>
        <w:t>La décision finale quant à l’admissibilité des dépenses  incombe au CABHI.</w:t>
      </w:r>
    </w:p>
    <w:p w14:paraId="6927608B" w14:textId="77777777" w:rsidR="002B0B92" w:rsidRPr="001B3BE3" w:rsidRDefault="002B0B92" w:rsidP="002B0B92">
      <w:pPr>
        <w:spacing w:after="0" w:line="240" w:lineRule="auto"/>
        <w:rPr>
          <w:rFonts w:ascii="Arial" w:hAnsi="Arial" w:cs="Arial"/>
        </w:rPr>
      </w:pPr>
    </w:p>
    <w:p w14:paraId="26AF90A9" w14:textId="77777777" w:rsidR="002B0B92" w:rsidRPr="001B3BE3" w:rsidRDefault="002B0B92" w:rsidP="002B0B92">
      <w:pPr>
        <w:spacing w:after="0" w:line="240" w:lineRule="auto"/>
        <w:rPr>
          <w:rFonts w:ascii="Arial" w:hAnsi="Arial" w:cs="Arial"/>
        </w:rPr>
      </w:pPr>
    </w:p>
    <w:p w14:paraId="384D66E8" w14:textId="77777777" w:rsidR="00245866" w:rsidRDefault="0056277B" w:rsidP="00245866">
      <w:pPr>
        <w:jc w:val="both"/>
        <w:rPr>
          <w:rFonts w:ascii="Arial" w:hAnsi="Arial" w:cs="Arial"/>
          <w:sz w:val="20"/>
        </w:rPr>
      </w:pPr>
      <w:r>
        <w:rPr>
          <w:rFonts w:ascii="Arial" w:hAnsi="Arial"/>
          <w:sz w:val="20"/>
        </w:rPr>
        <w:t xml:space="preserve">Si vous avez besoin de plus amples précisions, veuillez communiquer directement avec le bureau du CABHI à </w:t>
      </w:r>
      <w:hyperlink r:id="rId8" w:history="1">
        <w:r>
          <w:rPr>
            <w:rStyle w:val="Hyperlink"/>
            <w:rFonts w:ascii="Arial" w:hAnsi="Arial"/>
            <w:sz w:val="20"/>
          </w:rPr>
          <w:t>info@cabhi.com</w:t>
        </w:r>
      </w:hyperlink>
      <w:r>
        <w:rPr>
          <w:rFonts w:ascii="Arial" w:hAnsi="Arial"/>
          <w:sz w:val="20"/>
        </w:rPr>
        <w:t xml:space="preserve">. </w:t>
      </w:r>
    </w:p>
    <w:p w14:paraId="0C719F03" w14:textId="77777777" w:rsidR="00245866" w:rsidRDefault="00245866">
      <w:pPr>
        <w:rPr>
          <w:rFonts w:ascii="Arial" w:hAnsi="Arial" w:cs="Arial"/>
          <w:sz w:val="20"/>
        </w:rPr>
      </w:pPr>
    </w:p>
    <w:p w14:paraId="7DEDE990" w14:textId="77777777" w:rsidR="002B0B92" w:rsidRPr="003174F0" w:rsidRDefault="002B0B92" w:rsidP="004E75D0">
      <w:pPr>
        <w:pStyle w:val="Heading1"/>
        <w:spacing w:after="180"/>
      </w:pPr>
      <w:r>
        <w:lastRenderedPageBreak/>
        <w:t>DÉPENSES ADMISSIBLES :</w:t>
      </w:r>
    </w:p>
    <w:p w14:paraId="2B263159" w14:textId="77777777" w:rsidR="008635D6" w:rsidRDefault="002B0B92" w:rsidP="008635D6">
      <w:pPr>
        <w:spacing w:after="0"/>
        <w:jc w:val="both"/>
        <w:rPr>
          <w:rFonts w:ascii="Arial" w:hAnsi="Arial" w:cs="Arial"/>
          <w:sz w:val="20"/>
          <w:szCs w:val="20"/>
        </w:rPr>
      </w:pPr>
      <w:r>
        <w:rPr>
          <w:rFonts w:ascii="Arial" w:hAnsi="Arial"/>
          <w:sz w:val="20"/>
          <w:szCs w:val="20"/>
        </w:rPr>
        <w:t xml:space="preserve">Les coûts réels doivent être directement attribuables au projet et nécessaires à l’exécution de celui-ci. </w:t>
      </w:r>
      <w:r>
        <w:rPr>
          <w:rFonts w:ascii="Arial" w:hAnsi="Arial"/>
          <w:sz w:val="20"/>
        </w:rPr>
        <w:t xml:space="preserve">Les dépenses déclarées pour le projet doivent représenter une augmentation par rapport aux dépenses d'exploitation normales du bénéficiaire; toute répartition de dépenses d'exploitation courantes pour le projet ne représente </w:t>
      </w:r>
      <w:r>
        <w:rPr>
          <w:rFonts w:ascii="Arial" w:hAnsi="Arial"/>
          <w:sz w:val="20"/>
          <w:u w:val="single"/>
        </w:rPr>
        <w:t>pas</w:t>
      </w:r>
      <w:r>
        <w:rPr>
          <w:rFonts w:ascii="Arial" w:hAnsi="Arial"/>
          <w:sz w:val="20"/>
        </w:rPr>
        <w:t xml:space="preserve"> une dépense admissible. </w:t>
      </w:r>
      <w:r>
        <w:rPr>
          <w:rFonts w:ascii="Arial" w:hAnsi="Arial"/>
          <w:sz w:val="20"/>
          <w:szCs w:val="20"/>
        </w:rPr>
        <w:t xml:space="preserve">Le bénéficiaire doit utiliser les fonds uniquement pour les catégories de </w:t>
      </w:r>
      <w:r>
        <w:rPr>
          <w:rFonts w:ascii="Arial" w:hAnsi="Arial"/>
          <w:b/>
          <w:i/>
          <w:iCs/>
          <w:sz w:val="20"/>
          <w:szCs w:val="20"/>
        </w:rPr>
        <w:t>dépenses admissibles</w:t>
      </w:r>
      <w:r>
        <w:rPr>
          <w:rFonts w:ascii="Arial" w:hAnsi="Arial"/>
          <w:sz w:val="20"/>
          <w:szCs w:val="20"/>
        </w:rPr>
        <w:t xml:space="preserve"> ci-dessous, à condition qu’il atteigne ses jalons et ses résultats prévus, sous réserve des limites et des conditions définies ci-dessous :</w:t>
      </w:r>
    </w:p>
    <w:p w14:paraId="733FFCDE" w14:textId="77777777" w:rsidR="003D4EF8" w:rsidRPr="003D4EF8" w:rsidRDefault="003D4EF8" w:rsidP="008635D6">
      <w:pPr>
        <w:spacing w:after="0"/>
        <w:jc w:val="both"/>
        <w:rPr>
          <w:rFonts w:ascii="Arial" w:hAnsi="Arial" w:cs="Arial"/>
          <w:sz w:val="20"/>
          <w:szCs w:val="20"/>
        </w:rPr>
      </w:pPr>
    </w:p>
    <w:p w14:paraId="78D4D32C" w14:textId="77777777" w:rsidR="002B0B92" w:rsidRPr="003174F0" w:rsidRDefault="002B0B92" w:rsidP="004E75D0">
      <w:pPr>
        <w:pStyle w:val="Heading2"/>
        <w:spacing w:before="0" w:after="180"/>
      </w:pPr>
      <w:r>
        <w:t>SALAIRES ET AVANTAGES SOCIAUX</w:t>
      </w:r>
    </w:p>
    <w:tbl>
      <w:tblPr>
        <w:tblStyle w:val="TableGrid"/>
        <w:tblW w:w="0" w:type="auto"/>
        <w:tblLook w:val="0420" w:firstRow="1" w:lastRow="0" w:firstColumn="0" w:lastColumn="0" w:noHBand="0" w:noVBand="1"/>
        <w:tblDescription w:val="This table outlines Eligible and Ineligible Salary and Benefit expenses. "/>
      </w:tblPr>
      <w:tblGrid>
        <w:gridCol w:w="5138"/>
        <w:gridCol w:w="5076"/>
      </w:tblGrid>
      <w:tr w:rsidR="002B0B92" w:rsidRPr="001B3BE3" w14:paraId="13FB09CC" w14:textId="77777777" w:rsidTr="00B40816">
        <w:trPr>
          <w:trHeight w:val="467"/>
        </w:trPr>
        <w:tc>
          <w:tcPr>
            <w:tcW w:w="5138" w:type="dxa"/>
            <w:shd w:val="solid" w:color="1F497D" w:themeColor="text2" w:fill="17365D" w:themeFill="text2" w:themeFillShade="BF"/>
            <w:vAlign w:val="center"/>
          </w:tcPr>
          <w:p w14:paraId="17B62903" w14:textId="77777777" w:rsidR="002B0B92" w:rsidRPr="001B3BE3" w:rsidRDefault="002B0B92" w:rsidP="00403DE5">
            <w:pPr>
              <w:jc w:val="center"/>
              <w:rPr>
                <w:rFonts w:ascii="Arial" w:hAnsi="Arial" w:cs="Arial"/>
                <w:b/>
                <w:color w:val="FFFFFF" w:themeColor="background1"/>
                <w:sz w:val="18"/>
                <w:szCs w:val="20"/>
              </w:rPr>
            </w:pPr>
            <w:r>
              <w:rPr>
                <w:rFonts w:ascii="Arial" w:hAnsi="Arial"/>
                <w:b/>
                <w:color w:val="FFFFFF" w:themeColor="background1"/>
                <w:sz w:val="18"/>
                <w:szCs w:val="20"/>
              </w:rPr>
              <w:t>Dépenses admissibles</w:t>
            </w:r>
          </w:p>
        </w:tc>
        <w:tc>
          <w:tcPr>
            <w:tcW w:w="5076" w:type="dxa"/>
            <w:shd w:val="solid" w:color="1F497D" w:themeColor="text2" w:fill="17365D" w:themeFill="text2" w:themeFillShade="BF"/>
            <w:vAlign w:val="center"/>
          </w:tcPr>
          <w:p w14:paraId="42500C77" w14:textId="77777777" w:rsidR="002B0B92" w:rsidRPr="001B3BE3" w:rsidRDefault="002B0B92" w:rsidP="00403DE5">
            <w:pPr>
              <w:jc w:val="center"/>
              <w:rPr>
                <w:rFonts w:ascii="Arial" w:hAnsi="Arial" w:cs="Arial"/>
                <w:b/>
                <w:color w:val="FFFFFF" w:themeColor="background1"/>
                <w:sz w:val="18"/>
                <w:szCs w:val="20"/>
              </w:rPr>
            </w:pPr>
            <w:r>
              <w:rPr>
                <w:rFonts w:ascii="Arial" w:hAnsi="Arial"/>
                <w:b/>
                <w:color w:val="FFFFFF" w:themeColor="background1"/>
                <w:sz w:val="18"/>
                <w:szCs w:val="20"/>
              </w:rPr>
              <w:t>Dépenses inadmissibles</w:t>
            </w:r>
          </w:p>
        </w:tc>
      </w:tr>
      <w:tr w:rsidR="002B0B92" w:rsidRPr="001B3BE3" w14:paraId="682F1AA8" w14:textId="77777777" w:rsidTr="00B40816">
        <w:tc>
          <w:tcPr>
            <w:tcW w:w="5138" w:type="dxa"/>
          </w:tcPr>
          <w:p w14:paraId="20B3A569" w14:textId="77777777" w:rsidR="002B0B92" w:rsidRPr="001B3BE3" w:rsidRDefault="002B0B92" w:rsidP="009139DA">
            <w:pPr>
              <w:spacing w:line="276" w:lineRule="auto"/>
              <w:rPr>
                <w:rFonts w:ascii="Arial" w:hAnsi="Arial" w:cs="Arial"/>
                <w:sz w:val="18"/>
              </w:rPr>
            </w:pPr>
          </w:p>
          <w:p w14:paraId="26DD7FDE" w14:textId="77777777" w:rsidR="002B0B92" w:rsidRPr="001B3BE3" w:rsidRDefault="002B0B92" w:rsidP="009139DA">
            <w:pPr>
              <w:pStyle w:val="ListParagraph"/>
              <w:numPr>
                <w:ilvl w:val="0"/>
                <w:numId w:val="10"/>
              </w:numPr>
              <w:spacing w:line="276" w:lineRule="auto"/>
              <w:ind w:left="270" w:hanging="270"/>
              <w:jc w:val="both"/>
              <w:rPr>
                <w:rFonts w:ascii="Arial" w:hAnsi="Arial" w:cs="Arial"/>
                <w:sz w:val="18"/>
              </w:rPr>
            </w:pPr>
            <w:r>
              <w:rPr>
                <w:rFonts w:ascii="Arial" w:hAnsi="Arial"/>
                <w:sz w:val="18"/>
              </w:rPr>
              <w:t>Les salaires et les avantages sociaux du personnel, ou du personnel d’autres organismes appuyés en vue d’exécuter le projet ou les nouveaux employés, permanents ou temporaires embauchés pour exécuter le projet, incluant les frais payés aux personnes embauchées sur la base d'un contrat de travail. Cela comprend tout coût lié au remplacement de personnel clinique ou de première ligne à qui il incombe d’exécuter le projet dans les centres d’essai.</w:t>
            </w:r>
          </w:p>
          <w:p w14:paraId="1A7F2F82" w14:textId="77777777" w:rsidR="002B0B92" w:rsidRPr="001B3BE3" w:rsidRDefault="002B0B92" w:rsidP="009139DA">
            <w:pPr>
              <w:spacing w:line="276" w:lineRule="auto"/>
              <w:rPr>
                <w:rFonts w:ascii="Arial" w:hAnsi="Arial" w:cs="Arial"/>
                <w:b/>
                <w:sz w:val="18"/>
              </w:rPr>
            </w:pPr>
          </w:p>
          <w:p w14:paraId="1C4E491F" w14:textId="77777777" w:rsidR="002B0B92" w:rsidRPr="001B3BE3" w:rsidRDefault="002B0B92" w:rsidP="009139DA">
            <w:pPr>
              <w:pStyle w:val="ListParagraph"/>
              <w:numPr>
                <w:ilvl w:val="0"/>
                <w:numId w:val="10"/>
              </w:numPr>
              <w:spacing w:line="276" w:lineRule="auto"/>
              <w:ind w:left="270" w:hanging="270"/>
              <w:jc w:val="both"/>
              <w:rPr>
                <w:rFonts w:ascii="Arial" w:hAnsi="Arial" w:cs="Arial"/>
                <w:sz w:val="18"/>
              </w:rPr>
            </w:pPr>
            <w:r>
              <w:rPr>
                <w:rFonts w:ascii="Arial" w:hAnsi="Arial"/>
                <w:sz w:val="18"/>
              </w:rPr>
              <w:t>Les dépenses relatives aux salaires, au traitement et aux avantages sociaux ne peuvent être réclamées qu’en proportion du temps passé à travailler directement sur le projet et l’auteur de proposition doit mettre à jour les feuilles de temps ou les dossiers appropriés pour tous les employés travaillant directement sur le projet.</w:t>
            </w:r>
          </w:p>
          <w:p w14:paraId="0257FB43" w14:textId="77777777" w:rsidR="002B0B92" w:rsidRPr="001B3BE3" w:rsidRDefault="002B0B92" w:rsidP="009139DA">
            <w:pPr>
              <w:spacing w:line="276" w:lineRule="auto"/>
              <w:ind w:left="720"/>
              <w:rPr>
                <w:rFonts w:ascii="Arial" w:hAnsi="Arial" w:cs="Arial"/>
                <w:sz w:val="18"/>
                <w:szCs w:val="18"/>
              </w:rPr>
            </w:pPr>
          </w:p>
          <w:p w14:paraId="044EFA62" w14:textId="77777777" w:rsidR="002B0B92" w:rsidRPr="001B3BE3" w:rsidRDefault="002B0B92" w:rsidP="009139DA">
            <w:pPr>
              <w:pStyle w:val="ListParagraph"/>
              <w:numPr>
                <w:ilvl w:val="0"/>
                <w:numId w:val="8"/>
              </w:numPr>
              <w:spacing w:line="276" w:lineRule="auto"/>
              <w:ind w:left="270" w:hanging="270"/>
              <w:jc w:val="both"/>
              <w:rPr>
                <w:rFonts w:ascii="Arial" w:hAnsi="Arial" w:cs="Arial"/>
                <w:sz w:val="18"/>
              </w:rPr>
            </w:pPr>
            <w:r>
              <w:rPr>
                <w:rFonts w:ascii="Arial" w:hAnsi="Arial"/>
                <w:sz w:val="18"/>
              </w:rPr>
              <w:t>Pour plus de certitude, seuls les salaires et les avantages sociaux du personnel ainsi que les honoraires de l'entrepreneur qui ne sont pas financés par des sommes obtenues de toutes autres subventions provinciales ou fédérales sont admissibles.</w:t>
            </w:r>
          </w:p>
          <w:p w14:paraId="64E82831" w14:textId="77777777" w:rsidR="002B0B92" w:rsidRPr="001B3BE3" w:rsidRDefault="002B0B92" w:rsidP="009139DA">
            <w:pPr>
              <w:spacing w:line="276" w:lineRule="auto"/>
              <w:rPr>
                <w:rFonts w:ascii="Arial" w:hAnsi="Arial" w:cs="Arial"/>
                <w:sz w:val="18"/>
              </w:rPr>
            </w:pPr>
          </w:p>
        </w:tc>
        <w:tc>
          <w:tcPr>
            <w:tcW w:w="5076" w:type="dxa"/>
          </w:tcPr>
          <w:p w14:paraId="395ABF2D" w14:textId="77777777" w:rsidR="002B0B92" w:rsidRPr="001B3BE3" w:rsidRDefault="002B0B92" w:rsidP="009139DA">
            <w:pPr>
              <w:pStyle w:val="ListParagraph"/>
              <w:spacing w:line="276" w:lineRule="auto"/>
              <w:jc w:val="both"/>
              <w:rPr>
                <w:rFonts w:ascii="Arial" w:hAnsi="Arial" w:cs="Arial"/>
                <w:sz w:val="18"/>
              </w:rPr>
            </w:pPr>
          </w:p>
          <w:p w14:paraId="6964F4AA" w14:textId="77777777" w:rsidR="00E52AA6" w:rsidRDefault="00E52AA6" w:rsidP="00E52AA6">
            <w:pPr>
              <w:pStyle w:val="ListParagraph"/>
              <w:numPr>
                <w:ilvl w:val="0"/>
                <w:numId w:val="9"/>
              </w:numPr>
              <w:spacing w:line="276" w:lineRule="auto"/>
              <w:ind w:left="237" w:hanging="237"/>
              <w:jc w:val="both"/>
              <w:rPr>
                <w:rFonts w:ascii="Arial" w:hAnsi="Arial" w:cs="Arial"/>
                <w:sz w:val="18"/>
              </w:rPr>
            </w:pPr>
            <w:r>
              <w:rPr>
                <w:rFonts w:ascii="Arial" w:hAnsi="Arial"/>
                <w:sz w:val="18"/>
              </w:rPr>
              <w:t>Les paiements aux chefs de projet, aux codemandeurs ou aux collaborateurs sous forme d’honoraires de conseil ou d'honoraires (en plus de la rémunération normale des personnes).</w:t>
            </w:r>
          </w:p>
          <w:p w14:paraId="610B1D5C" w14:textId="77777777" w:rsidR="00E52AA6" w:rsidRDefault="00E52AA6" w:rsidP="00E52AA6">
            <w:pPr>
              <w:pStyle w:val="ListParagraph"/>
              <w:spacing w:line="276" w:lineRule="auto"/>
              <w:ind w:left="252"/>
              <w:jc w:val="both"/>
              <w:rPr>
                <w:rFonts w:ascii="Arial" w:hAnsi="Arial" w:cs="Arial"/>
                <w:sz w:val="18"/>
              </w:rPr>
            </w:pPr>
          </w:p>
          <w:p w14:paraId="02723914" w14:textId="77777777" w:rsidR="00E52AA6" w:rsidRDefault="0035282C" w:rsidP="00E52AA6">
            <w:pPr>
              <w:pStyle w:val="ListParagraph"/>
              <w:numPr>
                <w:ilvl w:val="0"/>
                <w:numId w:val="9"/>
              </w:numPr>
              <w:spacing w:line="276" w:lineRule="auto"/>
              <w:ind w:left="232" w:hanging="232"/>
              <w:jc w:val="both"/>
              <w:rPr>
                <w:rFonts w:ascii="Arial" w:hAnsi="Arial" w:cs="Arial"/>
                <w:sz w:val="18"/>
              </w:rPr>
            </w:pPr>
            <w:r>
              <w:rPr>
                <w:rFonts w:ascii="Arial" w:hAnsi="Arial"/>
                <w:sz w:val="18"/>
              </w:rPr>
              <w:t>Les salaires payés aux tarifs de consultation ou au-delà de la juste valeur marchande dans le secteur sans but lucratif.</w:t>
            </w:r>
          </w:p>
          <w:p w14:paraId="730461E5" w14:textId="77777777" w:rsidR="00E52AA6" w:rsidRPr="0035282C" w:rsidRDefault="00E52AA6" w:rsidP="0035282C">
            <w:pPr>
              <w:jc w:val="both"/>
              <w:rPr>
                <w:rFonts w:ascii="Arial" w:hAnsi="Arial" w:cs="Arial"/>
                <w:sz w:val="18"/>
              </w:rPr>
            </w:pPr>
          </w:p>
          <w:p w14:paraId="0A2C7FCA" w14:textId="77777777" w:rsidR="002B0B92" w:rsidRPr="001B3BE3" w:rsidRDefault="002B0B92" w:rsidP="00E52AA6">
            <w:pPr>
              <w:pStyle w:val="ListParagraph"/>
              <w:numPr>
                <w:ilvl w:val="0"/>
                <w:numId w:val="9"/>
              </w:numPr>
              <w:spacing w:line="276" w:lineRule="auto"/>
              <w:ind w:left="252" w:hanging="252"/>
              <w:jc w:val="both"/>
              <w:rPr>
                <w:rFonts w:ascii="Arial" w:hAnsi="Arial" w:cs="Arial"/>
                <w:sz w:val="18"/>
              </w:rPr>
            </w:pPr>
            <w:r>
              <w:rPr>
                <w:rFonts w:ascii="Arial" w:hAnsi="Arial"/>
                <w:sz w:val="18"/>
              </w:rPr>
              <w:t>Les coûts liés à l’élaboration de proposition.</w:t>
            </w:r>
          </w:p>
        </w:tc>
      </w:tr>
    </w:tbl>
    <w:p w14:paraId="721E9AA9" w14:textId="77777777" w:rsidR="003174F0" w:rsidRDefault="003174F0" w:rsidP="00395C9D">
      <w:pPr>
        <w:pStyle w:val="Heading2"/>
      </w:pPr>
    </w:p>
    <w:p w14:paraId="1B203A5C" w14:textId="77777777" w:rsidR="002B0B92" w:rsidRPr="003174F0" w:rsidRDefault="002B0B92" w:rsidP="004E75D0">
      <w:pPr>
        <w:pStyle w:val="Heading2"/>
        <w:spacing w:before="0" w:after="180"/>
      </w:pPr>
      <w:r>
        <w:t>COÛTS INDIRECTS OU LES FRAIS GÉNÉRAUX</w:t>
      </w:r>
    </w:p>
    <w:tbl>
      <w:tblPr>
        <w:tblStyle w:val="TableGrid"/>
        <w:tblW w:w="0" w:type="auto"/>
        <w:shd w:val="solid" w:color="C00000" w:fill="auto"/>
        <w:tblLook w:val="0420" w:firstRow="1" w:lastRow="0" w:firstColumn="0" w:lastColumn="0" w:noHBand="0" w:noVBand="1"/>
        <w:tblDescription w:val="All Indirect Costs and Overhead are Ineligible expenses. "/>
      </w:tblPr>
      <w:tblGrid>
        <w:gridCol w:w="10440"/>
      </w:tblGrid>
      <w:tr w:rsidR="002B0B92" w:rsidRPr="001B3BE3" w14:paraId="4274FB46" w14:textId="77777777" w:rsidTr="00B40816">
        <w:trPr>
          <w:trHeight w:val="431"/>
        </w:trPr>
        <w:tc>
          <w:tcPr>
            <w:tcW w:w="13896" w:type="dxa"/>
            <w:shd w:val="solid" w:color="C00000" w:fill="auto"/>
            <w:vAlign w:val="center"/>
          </w:tcPr>
          <w:p w14:paraId="3E6BA3BA" w14:textId="77777777" w:rsidR="002B0B92" w:rsidRPr="001B3BE3" w:rsidRDefault="002B0B92" w:rsidP="00245866">
            <w:pPr>
              <w:pStyle w:val="ListParagraph"/>
              <w:numPr>
                <w:ilvl w:val="0"/>
                <w:numId w:val="13"/>
              </w:numPr>
              <w:rPr>
                <w:rFonts w:ascii="Arial" w:hAnsi="Arial" w:cs="Arial"/>
                <w:b/>
                <w:color w:val="C00000"/>
                <w:sz w:val="20"/>
              </w:rPr>
            </w:pPr>
            <w:r>
              <w:rPr>
                <w:rFonts w:ascii="Arial" w:hAnsi="Arial"/>
                <w:b/>
                <w:color w:val="FFFFFF" w:themeColor="background1"/>
                <w:sz w:val="18"/>
              </w:rPr>
              <w:t>Inadmissibles</w:t>
            </w:r>
          </w:p>
        </w:tc>
      </w:tr>
    </w:tbl>
    <w:p w14:paraId="1CD88B11" w14:textId="77777777" w:rsidR="003174F0" w:rsidRDefault="003174F0" w:rsidP="003174F0">
      <w:pPr>
        <w:pStyle w:val="Heading2"/>
      </w:pPr>
    </w:p>
    <w:p w14:paraId="3A5BCE76" w14:textId="77777777" w:rsidR="002B0B92" w:rsidRPr="003174F0" w:rsidRDefault="002B0B92" w:rsidP="004E75D0">
      <w:pPr>
        <w:pStyle w:val="Heading2"/>
        <w:spacing w:before="0" w:after="180"/>
      </w:pPr>
      <w:r>
        <w:t>DÉPLACEMENT ET HÉBERGEMENT</w:t>
      </w:r>
    </w:p>
    <w:tbl>
      <w:tblPr>
        <w:tblStyle w:val="TableGrid"/>
        <w:tblW w:w="0" w:type="auto"/>
        <w:tblLook w:val="0420" w:firstRow="1" w:lastRow="0" w:firstColumn="0" w:lastColumn="0" w:noHBand="0" w:noVBand="1"/>
        <w:tblDescription w:val="This table outlines Eligible and Ineligible Travel and Accommodation expenses. "/>
      </w:tblPr>
      <w:tblGrid>
        <w:gridCol w:w="5105"/>
        <w:gridCol w:w="5109"/>
      </w:tblGrid>
      <w:tr w:rsidR="009139DA" w:rsidRPr="001B3BE3" w14:paraId="567587A5" w14:textId="77777777" w:rsidTr="00B40816">
        <w:trPr>
          <w:trHeight w:val="440"/>
        </w:trPr>
        <w:tc>
          <w:tcPr>
            <w:tcW w:w="5105" w:type="dxa"/>
            <w:shd w:val="solid" w:color="1F497D" w:themeColor="text2" w:fill="auto"/>
            <w:vAlign w:val="center"/>
          </w:tcPr>
          <w:p w14:paraId="6F0C630D" w14:textId="77777777" w:rsidR="009139DA" w:rsidRPr="001B3BE3" w:rsidRDefault="009139DA" w:rsidP="0026463E">
            <w:pPr>
              <w:jc w:val="center"/>
              <w:rPr>
                <w:rFonts w:ascii="Arial" w:hAnsi="Arial" w:cs="Arial"/>
                <w:b/>
                <w:color w:val="FFFFFF" w:themeColor="background1"/>
                <w:sz w:val="18"/>
                <w:szCs w:val="20"/>
              </w:rPr>
            </w:pPr>
            <w:bookmarkStart w:id="2" w:name="_Hlk505675910"/>
            <w:r>
              <w:rPr>
                <w:rFonts w:ascii="Arial" w:hAnsi="Arial"/>
                <w:b/>
                <w:color w:val="FFFFFF" w:themeColor="background1"/>
                <w:sz w:val="18"/>
                <w:szCs w:val="20"/>
              </w:rPr>
              <w:t>Dépenses admissibles</w:t>
            </w:r>
          </w:p>
        </w:tc>
        <w:tc>
          <w:tcPr>
            <w:tcW w:w="5109" w:type="dxa"/>
            <w:shd w:val="solid" w:color="1F497D" w:themeColor="text2" w:fill="auto"/>
            <w:vAlign w:val="center"/>
          </w:tcPr>
          <w:p w14:paraId="4940CFED" w14:textId="77777777" w:rsidR="009139DA" w:rsidRPr="001B3BE3" w:rsidRDefault="009139DA" w:rsidP="0026463E">
            <w:pPr>
              <w:jc w:val="center"/>
              <w:rPr>
                <w:rFonts w:ascii="Arial" w:hAnsi="Arial" w:cs="Arial"/>
                <w:b/>
                <w:color w:val="FFFFFF" w:themeColor="background1"/>
                <w:sz w:val="18"/>
                <w:szCs w:val="20"/>
              </w:rPr>
            </w:pPr>
            <w:r>
              <w:rPr>
                <w:rFonts w:ascii="Arial" w:hAnsi="Arial"/>
                <w:b/>
                <w:color w:val="FFFFFF" w:themeColor="background1"/>
                <w:sz w:val="18"/>
                <w:szCs w:val="20"/>
              </w:rPr>
              <w:t>Dépenses inadmissibles</w:t>
            </w:r>
          </w:p>
        </w:tc>
      </w:tr>
      <w:tr w:rsidR="002B0B92" w:rsidRPr="001B3BE3" w14:paraId="509CB716" w14:textId="77777777" w:rsidTr="004E75D0">
        <w:trPr>
          <w:trHeight w:val="2708"/>
        </w:trPr>
        <w:tc>
          <w:tcPr>
            <w:tcW w:w="5105" w:type="dxa"/>
          </w:tcPr>
          <w:p w14:paraId="75E1A8E5" w14:textId="77777777" w:rsidR="002B0B92" w:rsidRPr="001B3BE3" w:rsidRDefault="002B0B92" w:rsidP="009139DA">
            <w:pPr>
              <w:pStyle w:val="ListParagraph"/>
              <w:spacing w:line="276" w:lineRule="auto"/>
              <w:ind w:left="180"/>
              <w:rPr>
                <w:rFonts w:ascii="Arial" w:hAnsi="Arial" w:cs="Arial"/>
                <w:sz w:val="18"/>
              </w:rPr>
            </w:pPr>
          </w:p>
          <w:p w14:paraId="6D193EDE" w14:textId="77777777" w:rsidR="002B0B92" w:rsidRPr="001B3BE3" w:rsidRDefault="002B0B92" w:rsidP="009139DA">
            <w:pPr>
              <w:pStyle w:val="ListParagraph"/>
              <w:numPr>
                <w:ilvl w:val="0"/>
                <w:numId w:val="8"/>
              </w:numPr>
              <w:spacing w:line="276" w:lineRule="auto"/>
              <w:ind w:left="180" w:hanging="180"/>
              <w:jc w:val="both"/>
              <w:rPr>
                <w:rFonts w:ascii="Arial" w:hAnsi="Arial" w:cs="Arial"/>
                <w:sz w:val="18"/>
              </w:rPr>
            </w:pPr>
            <w:r>
              <w:rPr>
                <w:rFonts w:ascii="Arial" w:hAnsi="Arial"/>
                <w:sz w:val="18"/>
              </w:rPr>
              <w:t xml:space="preserve">Les frais de déplacement et de subsistance (repas et hébergement) comprennent des frais remboursables raisonnables pour le travail sur place (si requis) et les activités de diffusion. Les déplacements en automobile seront remboursés à 0,48 $ par kilomètre. Les repas sont limités à 50 $ par jour par personne. Les réclamations doivent être accompagnées de reçus détaillés. </w:t>
            </w:r>
          </w:p>
          <w:p w14:paraId="7C8DB737" w14:textId="77777777" w:rsidR="002B0B92" w:rsidRPr="001B3BE3" w:rsidRDefault="002B0B92" w:rsidP="009139DA">
            <w:pPr>
              <w:pStyle w:val="ListParagraph"/>
              <w:spacing w:line="276" w:lineRule="auto"/>
              <w:ind w:left="180"/>
              <w:jc w:val="both"/>
              <w:rPr>
                <w:rFonts w:ascii="Arial" w:hAnsi="Arial" w:cs="Arial"/>
                <w:sz w:val="18"/>
                <w:szCs w:val="18"/>
              </w:rPr>
            </w:pPr>
          </w:p>
          <w:p w14:paraId="63BAC0D3" w14:textId="77777777" w:rsidR="004E75D0" w:rsidRPr="004E75D0" w:rsidRDefault="005B24DB" w:rsidP="004E75D0">
            <w:pPr>
              <w:pStyle w:val="ListParagraph"/>
              <w:numPr>
                <w:ilvl w:val="0"/>
                <w:numId w:val="8"/>
              </w:numPr>
              <w:spacing w:line="276" w:lineRule="auto"/>
              <w:ind w:left="180" w:hanging="180"/>
              <w:jc w:val="both"/>
              <w:rPr>
                <w:rFonts w:ascii="Arial" w:hAnsi="Arial" w:cs="Arial"/>
                <w:sz w:val="18"/>
              </w:rPr>
            </w:pPr>
            <w:r>
              <w:rPr>
                <w:rFonts w:ascii="Arial" w:hAnsi="Arial"/>
                <w:sz w:val="18"/>
              </w:rPr>
              <w:t>Tout déplacement doit être préapprouvé par écrit par le CABHI; cette approbation peut être accordée conformément à un programme de voyage lié au projet soumis par le bénéficiaire.</w:t>
            </w:r>
          </w:p>
        </w:tc>
        <w:tc>
          <w:tcPr>
            <w:tcW w:w="5109" w:type="dxa"/>
          </w:tcPr>
          <w:p w14:paraId="0E8444A2" w14:textId="77777777" w:rsidR="002B0B92" w:rsidRPr="005B24DB" w:rsidRDefault="002B0B92" w:rsidP="009139DA">
            <w:pPr>
              <w:spacing w:line="276" w:lineRule="auto"/>
              <w:rPr>
                <w:rFonts w:ascii="Arial" w:hAnsi="Arial" w:cs="Arial"/>
                <w:sz w:val="16"/>
              </w:rPr>
            </w:pPr>
          </w:p>
          <w:p w14:paraId="0349B680" w14:textId="77777777" w:rsidR="00B473E5" w:rsidRDefault="00B473E5" w:rsidP="009139DA">
            <w:pPr>
              <w:pStyle w:val="ListParagraph"/>
              <w:numPr>
                <w:ilvl w:val="0"/>
                <w:numId w:val="9"/>
              </w:numPr>
              <w:spacing w:line="276" w:lineRule="auto"/>
              <w:ind w:left="252" w:hanging="252"/>
              <w:jc w:val="both"/>
              <w:rPr>
                <w:rFonts w:ascii="Arial" w:hAnsi="Arial" w:cs="Arial"/>
                <w:sz w:val="18"/>
              </w:rPr>
            </w:pPr>
            <w:r>
              <w:rPr>
                <w:rFonts w:ascii="Arial" w:hAnsi="Arial"/>
                <w:sz w:val="18"/>
              </w:rPr>
              <w:t>Alcool</w:t>
            </w:r>
          </w:p>
          <w:p w14:paraId="3DEAF017" w14:textId="77777777" w:rsidR="00B473E5" w:rsidRPr="00B473E5" w:rsidRDefault="00B473E5" w:rsidP="00B473E5">
            <w:pPr>
              <w:jc w:val="both"/>
              <w:rPr>
                <w:rFonts w:ascii="Arial" w:hAnsi="Arial" w:cs="Arial"/>
                <w:sz w:val="18"/>
              </w:rPr>
            </w:pPr>
          </w:p>
          <w:p w14:paraId="790986E9" w14:textId="77777777" w:rsidR="002B0B92" w:rsidRPr="001B3BE3" w:rsidRDefault="002B0B92" w:rsidP="009139DA">
            <w:pPr>
              <w:pStyle w:val="ListParagraph"/>
              <w:numPr>
                <w:ilvl w:val="0"/>
                <w:numId w:val="9"/>
              </w:numPr>
              <w:spacing w:line="276" w:lineRule="auto"/>
              <w:ind w:left="252" w:hanging="252"/>
              <w:jc w:val="both"/>
              <w:rPr>
                <w:rFonts w:ascii="Arial" w:hAnsi="Arial" w:cs="Arial"/>
                <w:sz w:val="18"/>
              </w:rPr>
            </w:pPr>
            <w:r>
              <w:rPr>
                <w:rFonts w:ascii="Arial" w:hAnsi="Arial"/>
                <w:sz w:val="18"/>
              </w:rPr>
              <w:t>Frais de nourriture et d’hébergement qui ne sont pas liés précisément au projet.</w:t>
            </w:r>
          </w:p>
          <w:p w14:paraId="7D898058" w14:textId="77777777" w:rsidR="002B0B92" w:rsidRPr="001B3BE3" w:rsidRDefault="002B0B92" w:rsidP="009139DA">
            <w:pPr>
              <w:pStyle w:val="ListParagraph"/>
              <w:spacing w:line="276" w:lineRule="auto"/>
              <w:ind w:left="252"/>
              <w:jc w:val="both"/>
              <w:rPr>
                <w:rFonts w:ascii="Arial" w:hAnsi="Arial" w:cs="Arial"/>
                <w:sz w:val="18"/>
                <w:szCs w:val="18"/>
              </w:rPr>
            </w:pPr>
          </w:p>
          <w:p w14:paraId="1F0D98CC" w14:textId="77777777" w:rsidR="002B0B92" w:rsidRPr="001B3BE3" w:rsidRDefault="002B0B92" w:rsidP="009139DA">
            <w:pPr>
              <w:pStyle w:val="ListParagraph"/>
              <w:numPr>
                <w:ilvl w:val="0"/>
                <w:numId w:val="9"/>
              </w:numPr>
              <w:spacing w:line="276" w:lineRule="auto"/>
              <w:ind w:left="252" w:hanging="252"/>
              <w:jc w:val="both"/>
              <w:rPr>
                <w:rFonts w:ascii="Arial" w:hAnsi="Arial" w:cs="Arial"/>
                <w:sz w:val="18"/>
              </w:rPr>
            </w:pPr>
            <w:r>
              <w:rPr>
                <w:rFonts w:ascii="Arial" w:hAnsi="Arial"/>
                <w:sz w:val="18"/>
              </w:rPr>
              <w:t>Remboursement d’un billet d’avion acheté avec les points d’un programme pour grands voyageurs personnel.</w:t>
            </w:r>
          </w:p>
          <w:p w14:paraId="67AB8214" w14:textId="77777777" w:rsidR="002B0B92" w:rsidRPr="001B3BE3" w:rsidRDefault="002B0B92" w:rsidP="009139DA">
            <w:pPr>
              <w:spacing w:line="276" w:lineRule="auto"/>
              <w:jc w:val="both"/>
              <w:rPr>
                <w:rFonts w:ascii="Arial" w:hAnsi="Arial" w:cs="Arial"/>
                <w:sz w:val="18"/>
                <w:szCs w:val="18"/>
              </w:rPr>
            </w:pPr>
          </w:p>
          <w:p w14:paraId="39AA2D68" w14:textId="77777777" w:rsidR="009139DA" w:rsidRPr="004E75D0" w:rsidRDefault="002B0B92" w:rsidP="004E75D0">
            <w:pPr>
              <w:pStyle w:val="ListParagraph"/>
              <w:numPr>
                <w:ilvl w:val="0"/>
                <w:numId w:val="9"/>
              </w:numPr>
              <w:spacing w:line="276" w:lineRule="auto"/>
              <w:ind w:left="252" w:hanging="252"/>
              <w:jc w:val="both"/>
              <w:rPr>
                <w:rFonts w:ascii="Arial" w:hAnsi="Arial" w:cs="Arial"/>
                <w:sz w:val="18"/>
              </w:rPr>
            </w:pPr>
            <w:r>
              <w:rPr>
                <w:rFonts w:ascii="Arial" w:hAnsi="Arial"/>
                <w:sz w:val="18"/>
              </w:rPr>
              <w:t>Frais de navettage entre le domicile et le lieu de travail.</w:t>
            </w:r>
          </w:p>
        </w:tc>
      </w:tr>
    </w:tbl>
    <w:bookmarkEnd w:id="2"/>
    <w:p w14:paraId="2728ABB3" w14:textId="77777777" w:rsidR="002B0B92" w:rsidRPr="003174F0" w:rsidRDefault="002B0B92" w:rsidP="004E75D0">
      <w:pPr>
        <w:pStyle w:val="Heading2"/>
        <w:spacing w:before="0" w:after="180"/>
      </w:pPr>
      <w:r>
        <w:t>DÉPENSES D'EXPLOITATION</w:t>
      </w:r>
    </w:p>
    <w:tbl>
      <w:tblPr>
        <w:tblStyle w:val="TableGrid"/>
        <w:tblW w:w="0" w:type="auto"/>
        <w:tblLook w:val="0420" w:firstRow="1" w:lastRow="0" w:firstColumn="0" w:lastColumn="0" w:noHBand="0" w:noVBand="1"/>
        <w:tblDescription w:val="This table outlines Eligible and Ineligible Operating expenses. "/>
      </w:tblPr>
      <w:tblGrid>
        <w:gridCol w:w="5124"/>
        <w:gridCol w:w="5090"/>
      </w:tblGrid>
      <w:tr w:rsidR="002B0B92" w:rsidRPr="001B3BE3" w14:paraId="41673529" w14:textId="77777777" w:rsidTr="00B40816">
        <w:trPr>
          <w:trHeight w:val="446"/>
          <w:tblHeader/>
        </w:trPr>
        <w:tc>
          <w:tcPr>
            <w:tcW w:w="5124" w:type="dxa"/>
            <w:shd w:val="solid" w:color="1F497D" w:themeColor="text2" w:fill="auto"/>
            <w:vAlign w:val="center"/>
          </w:tcPr>
          <w:p w14:paraId="5E4FAA4C" w14:textId="77777777" w:rsidR="002B0B92" w:rsidRPr="001B3BE3" w:rsidRDefault="002B0B92" w:rsidP="0026463E">
            <w:pPr>
              <w:jc w:val="center"/>
              <w:rPr>
                <w:rFonts w:ascii="Arial" w:hAnsi="Arial" w:cs="Arial"/>
                <w:b/>
                <w:color w:val="FFFFFF" w:themeColor="background1"/>
                <w:sz w:val="18"/>
                <w:szCs w:val="20"/>
              </w:rPr>
            </w:pPr>
            <w:r>
              <w:rPr>
                <w:rFonts w:ascii="Arial" w:hAnsi="Arial"/>
                <w:b/>
                <w:color w:val="FFFFFF" w:themeColor="background1"/>
                <w:sz w:val="18"/>
                <w:szCs w:val="20"/>
              </w:rPr>
              <w:t>Dépenses admissibles</w:t>
            </w:r>
          </w:p>
        </w:tc>
        <w:tc>
          <w:tcPr>
            <w:tcW w:w="5090" w:type="dxa"/>
            <w:shd w:val="solid" w:color="1F497D" w:themeColor="text2" w:fill="auto"/>
            <w:vAlign w:val="center"/>
          </w:tcPr>
          <w:p w14:paraId="31450F42" w14:textId="77777777" w:rsidR="002B0B92" w:rsidRPr="001B3BE3" w:rsidRDefault="002B0B92" w:rsidP="0026463E">
            <w:pPr>
              <w:jc w:val="center"/>
              <w:rPr>
                <w:rFonts w:ascii="Arial" w:hAnsi="Arial" w:cs="Arial"/>
                <w:b/>
                <w:color w:val="FFFFFF" w:themeColor="background1"/>
                <w:sz w:val="18"/>
                <w:szCs w:val="20"/>
              </w:rPr>
            </w:pPr>
            <w:r>
              <w:rPr>
                <w:rFonts w:ascii="Arial" w:hAnsi="Arial"/>
                <w:b/>
                <w:color w:val="FFFFFF" w:themeColor="background1"/>
                <w:sz w:val="18"/>
                <w:szCs w:val="20"/>
              </w:rPr>
              <w:t>Dépenses inadmissibles</w:t>
            </w:r>
          </w:p>
        </w:tc>
      </w:tr>
      <w:tr w:rsidR="00933DE0" w:rsidRPr="001B3BE3" w14:paraId="0453D9A7" w14:textId="77777777" w:rsidTr="00B40816">
        <w:tc>
          <w:tcPr>
            <w:tcW w:w="5124" w:type="dxa"/>
            <w:shd w:val="clear" w:color="auto" w:fill="auto"/>
          </w:tcPr>
          <w:p w14:paraId="2F6F4C19" w14:textId="77777777" w:rsidR="00933DE0" w:rsidRPr="001B3BE3" w:rsidRDefault="00933DE0" w:rsidP="00933DE0">
            <w:pPr>
              <w:spacing w:line="276" w:lineRule="auto"/>
              <w:rPr>
                <w:rFonts w:ascii="Arial" w:hAnsi="Arial" w:cs="Arial"/>
                <w:sz w:val="18"/>
              </w:rPr>
            </w:pPr>
          </w:p>
          <w:p w14:paraId="5BC72BA1" w14:textId="77777777" w:rsidR="00933DE0" w:rsidRPr="001B3BE3" w:rsidRDefault="00933DE0" w:rsidP="00933DE0">
            <w:pPr>
              <w:pStyle w:val="ListParagraph"/>
              <w:numPr>
                <w:ilvl w:val="0"/>
                <w:numId w:val="10"/>
              </w:numPr>
              <w:spacing w:line="276" w:lineRule="auto"/>
              <w:ind w:left="270" w:hanging="270"/>
              <w:jc w:val="both"/>
              <w:rPr>
                <w:rFonts w:ascii="Arial" w:hAnsi="Arial" w:cs="Arial"/>
                <w:sz w:val="18"/>
              </w:rPr>
            </w:pPr>
            <w:r>
              <w:rPr>
                <w:rFonts w:ascii="Arial" w:hAnsi="Arial"/>
                <w:sz w:val="18"/>
              </w:rPr>
              <w:t>Coût des matières directes et des fournitures, calculé au prorata pour la durée du projet, nécessaires pour une identification et une mesure précise et ayant été utilisés pour l’achèvement du projet.</w:t>
            </w:r>
          </w:p>
          <w:p w14:paraId="02E1A372" w14:textId="77777777" w:rsidR="00933DE0" w:rsidRPr="001B3BE3" w:rsidRDefault="00933DE0" w:rsidP="00933DE0">
            <w:pPr>
              <w:spacing w:line="276" w:lineRule="auto"/>
              <w:ind w:left="270" w:hanging="270"/>
              <w:jc w:val="both"/>
              <w:rPr>
                <w:rFonts w:ascii="Arial" w:hAnsi="Arial" w:cs="Arial"/>
                <w:sz w:val="18"/>
                <w:szCs w:val="18"/>
              </w:rPr>
            </w:pPr>
          </w:p>
          <w:p w14:paraId="25480BBB" w14:textId="77777777" w:rsidR="00933DE0" w:rsidRPr="001B3BE3" w:rsidRDefault="00933DE0" w:rsidP="00933DE0">
            <w:pPr>
              <w:pStyle w:val="ListParagraph"/>
              <w:numPr>
                <w:ilvl w:val="0"/>
                <w:numId w:val="10"/>
              </w:numPr>
              <w:spacing w:line="276" w:lineRule="auto"/>
              <w:ind w:left="270" w:hanging="270"/>
              <w:jc w:val="both"/>
              <w:rPr>
                <w:rFonts w:ascii="Arial" w:hAnsi="Arial" w:cs="Arial"/>
                <w:sz w:val="18"/>
              </w:rPr>
            </w:pPr>
            <w:r>
              <w:rPr>
                <w:rFonts w:ascii="Arial" w:hAnsi="Arial"/>
                <w:sz w:val="18"/>
              </w:rPr>
              <w:t>Documentation utilisée pour des prototypes; configuration, processus de production pour les essais, systèmes, et formation des employés.</w:t>
            </w:r>
          </w:p>
          <w:p w14:paraId="57F6CB11" w14:textId="77777777" w:rsidR="00933DE0" w:rsidRPr="001B3BE3" w:rsidRDefault="00933DE0" w:rsidP="00933DE0">
            <w:pPr>
              <w:pStyle w:val="ListParagraph"/>
              <w:spacing w:line="276" w:lineRule="auto"/>
              <w:ind w:left="270" w:hanging="270"/>
              <w:jc w:val="both"/>
              <w:rPr>
                <w:rFonts w:ascii="Arial" w:hAnsi="Arial" w:cs="Arial"/>
                <w:sz w:val="18"/>
                <w:szCs w:val="18"/>
              </w:rPr>
            </w:pPr>
          </w:p>
          <w:p w14:paraId="31D93C9E" w14:textId="77777777" w:rsidR="00933DE0" w:rsidRPr="001B3BE3" w:rsidRDefault="00933DE0" w:rsidP="00933DE0">
            <w:pPr>
              <w:pStyle w:val="ListParagraph"/>
              <w:numPr>
                <w:ilvl w:val="0"/>
                <w:numId w:val="10"/>
              </w:numPr>
              <w:spacing w:line="276" w:lineRule="auto"/>
              <w:ind w:left="270" w:hanging="270"/>
              <w:jc w:val="both"/>
              <w:rPr>
                <w:rFonts w:ascii="Arial" w:hAnsi="Arial" w:cs="Arial"/>
                <w:sz w:val="18"/>
              </w:rPr>
            </w:pPr>
            <w:r>
              <w:rPr>
                <w:rFonts w:ascii="Arial" w:hAnsi="Arial"/>
                <w:sz w:val="18"/>
              </w:rPr>
              <w:t>Frais de mise en œuvre, d’installation et de configuration de matériel et de logiciels requis pour le projet qui ne sont pas généralement fournis par l’organisme hôte, et accompagnés d’éléments de justification adéquats.</w:t>
            </w:r>
          </w:p>
          <w:p w14:paraId="75F75362" w14:textId="77777777" w:rsidR="00933DE0" w:rsidRPr="001B3BE3" w:rsidRDefault="00933DE0" w:rsidP="00933DE0">
            <w:pPr>
              <w:pStyle w:val="ListParagraph"/>
              <w:spacing w:line="276" w:lineRule="auto"/>
              <w:ind w:left="270" w:hanging="270"/>
              <w:jc w:val="both"/>
              <w:rPr>
                <w:rFonts w:ascii="Arial" w:hAnsi="Arial" w:cs="Arial"/>
                <w:sz w:val="18"/>
              </w:rPr>
            </w:pPr>
          </w:p>
          <w:p w14:paraId="2C46DC93" w14:textId="77777777" w:rsidR="00933DE0" w:rsidRPr="001B3BE3" w:rsidRDefault="00933DE0" w:rsidP="00933DE0">
            <w:pPr>
              <w:pStyle w:val="ListParagraph"/>
              <w:numPr>
                <w:ilvl w:val="0"/>
                <w:numId w:val="10"/>
              </w:numPr>
              <w:spacing w:line="276" w:lineRule="auto"/>
              <w:ind w:left="270" w:hanging="270"/>
              <w:jc w:val="both"/>
              <w:rPr>
                <w:rFonts w:ascii="Arial" w:hAnsi="Arial" w:cs="Arial"/>
                <w:sz w:val="18"/>
              </w:rPr>
            </w:pPr>
            <w:r>
              <w:rPr>
                <w:rFonts w:ascii="Arial" w:hAnsi="Arial"/>
                <w:sz w:val="18"/>
              </w:rPr>
              <w:t>Frais mensuels pour l’utilisation d’Internet de l'organisme hôte, seulement lorsque ce service est requis aux fins du projet et qu’il n’est généralement pas fourni par l’organisme hôte.</w:t>
            </w:r>
          </w:p>
          <w:p w14:paraId="3588C48D" w14:textId="77777777" w:rsidR="00933DE0" w:rsidRPr="001B3BE3" w:rsidRDefault="00933DE0" w:rsidP="00933DE0">
            <w:pPr>
              <w:pStyle w:val="ListParagraph"/>
              <w:spacing w:line="276" w:lineRule="auto"/>
              <w:ind w:left="270" w:hanging="270"/>
              <w:jc w:val="both"/>
              <w:rPr>
                <w:rFonts w:ascii="Arial" w:hAnsi="Arial" w:cs="Arial"/>
                <w:sz w:val="18"/>
              </w:rPr>
            </w:pPr>
          </w:p>
          <w:p w14:paraId="5AE92432" w14:textId="77777777" w:rsidR="00933DE0" w:rsidRPr="001B3BE3" w:rsidRDefault="00933DE0" w:rsidP="00933DE0">
            <w:pPr>
              <w:pStyle w:val="ListParagraph"/>
              <w:numPr>
                <w:ilvl w:val="0"/>
                <w:numId w:val="10"/>
              </w:numPr>
              <w:spacing w:line="276" w:lineRule="auto"/>
              <w:ind w:left="270" w:hanging="270"/>
              <w:jc w:val="both"/>
              <w:rPr>
                <w:rFonts w:ascii="Arial" w:hAnsi="Arial" w:cs="Arial"/>
                <w:sz w:val="18"/>
              </w:rPr>
            </w:pPr>
            <w:r>
              <w:rPr>
                <w:rFonts w:ascii="Arial" w:hAnsi="Arial"/>
                <w:sz w:val="18"/>
              </w:rPr>
              <w:t>Téléphones cellulaires, téléphones intelligents ou autres appareils électroniques lorsqu’ils sont nécessaires aux fins du projet uniquement (p. ex., collecte de données), ou pour des raisons de sécurité du personnel accompagnés d’éléments de justification adéquats.</w:t>
            </w:r>
          </w:p>
          <w:p w14:paraId="3D1E7D3D" w14:textId="77777777" w:rsidR="00933DE0" w:rsidRPr="001B3BE3" w:rsidRDefault="00933DE0" w:rsidP="00933DE0">
            <w:pPr>
              <w:spacing w:line="276" w:lineRule="auto"/>
              <w:ind w:left="270" w:hanging="270"/>
              <w:jc w:val="both"/>
              <w:rPr>
                <w:rFonts w:ascii="Arial" w:hAnsi="Arial" w:cs="Arial"/>
                <w:sz w:val="18"/>
              </w:rPr>
            </w:pPr>
          </w:p>
          <w:p w14:paraId="55B7564A" w14:textId="77777777" w:rsidR="00933DE0" w:rsidRPr="001B3BE3" w:rsidRDefault="00933DE0" w:rsidP="00933DE0">
            <w:pPr>
              <w:pStyle w:val="ListParagraph"/>
              <w:numPr>
                <w:ilvl w:val="0"/>
                <w:numId w:val="10"/>
              </w:numPr>
              <w:spacing w:line="276" w:lineRule="auto"/>
              <w:ind w:left="270" w:hanging="270"/>
              <w:jc w:val="both"/>
              <w:rPr>
                <w:rFonts w:ascii="Arial" w:hAnsi="Arial" w:cs="Arial"/>
                <w:sz w:val="18"/>
              </w:rPr>
            </w:pPr>
            <w:r>
              <w:rPr>
                <w:rFonts w:ascii="Arial" w:hAnsi="Arial"/>
                <w:sz w:val="18"/>
              </w:rPr>
              <w:t>Coût d’acquisition ou d’utilisation de l’équipement calculé au prorata pour la durée du projet (jusqu’à un maximum de 20 % du coût du projet).</w:t>
            </w:r>
          </w:p>
          <w:p w14:paraId="75763982" w14:textId="77777777" w:rsidR="00933DE0" w:rsidRPr="001B3BE3" w:rsidRDefault="00933DE0" w:rsidP="00933DE0">
            <w:pPr>
              <w:pStyle w:val="ListParagraph"/>
              <w:spacing w:line="276" w:lineRule="auto"/>
              <w:ind w:left="270" w:hanging="270"/>
              <w:jc w:val="both"/>
              <w:rPr>
                <w:rFonts w:ascii="Arial" w:hAnsi="Arial" w:cs="Arial"/>
                <w:sz w:val="18"/>
              </w:rPr>
            </w:pPr>
          </w:p>
          <w:p w14:paraId="53892E41" w14:textId="77777777" w:rsidR="00933DE0" w:rsidRPr="001B3BE3" w:rsidRDefault="00933DE0" w:rsidP="00933DE0">
            <w:pPr>
              <w:pStyle w:val="ListParagraph"/>
              <w:numPr>
                <w:ilvl w:val="0"/>
                <w:numId w:val="10"/>
              </w:numPr>
              <w:spacing w:line="276" w:lineRule="auto"/>
              <w:ind w:left="270" w:hanging="270"/>
              <w:jc w:val="both"/>
              <w:rPr>
                <w:rFonts w:ascii="Arial" w:hAnsi="Arial" w:cs="Arial"/>
                <w:sz w:val="18"/>
              </w:rPr>
            </w:pPr>
            <w:r>
              <w:rPr>
                <w:rFonts w:ascii="Arial" w:hAnsi="Arial"/>
                <w:sz w:val="18"/>
              </w:rPr>
              <w:t>Frais payés aux fins de recrutement et d’embauche de participants.</w:t>
            </w:r>
          </w:p>
          <w:p w14:paraId="50C06188" w14:textId="77777777" w:rsidR="00933DE0" w:rsidRPr="001B3BE3" w:rsidRDefault="00933DE0" w:rsidP="00933DE0">
            <w:pPr>
              <w:pStyle w:val="ListParagraph"/>
              <w:spacing w:line="276" w:lineRule="auto"/>
              <w:ind w:left="270" w:hanging="270"/>
              <w:jc w:val="both"/>
              <w:rPr>
                <w:rFonts w:ascii="Arial" w:hAnsi="Arial" w:cs="Arial"/>
                <w:sz w:val="18"/>
              </w:rPr>
            </w:pPr>
          </w:p>
          <w:p w14:paraId="7F6A8A26" w14:textId="77777777" w:rsidR="00933DE0" w:rsidRPr="001B3BE3" w:rsidRDefault="00933DE0" w:rsidP="00933DE0">
            <w:pPr>
              <w:pStyle w:val="ListParagraph"/>
              <w:numPr>
                <w:ilvl w:val="0"/>
                <w:numId w:val="10"/>
              </w:numPr>
              <w:spacing w:line="276" w:lineRule="auto"/>
              <w:ind w:left="270" w:hanging="270"/>
              <w:jc w:val="both"/>
              <w:rPr>
                <w:rFonts w:ascii="Arial" w:hAnsi="Arial" w:cs="Arial"/>
                <w:sz w:val="18"/>
              </w:rPr>
            </w:pPr>
            <w:r>
              <w:rPr>
                <w:rFonts w:ascii="Arial" w:hAnsi="Arial"/>
                <w:sz w:val="18"/>
              </w:rPr>
              <w:t>Dépenses liées à la sécurité pour le travail sur place, comme l'équipement de protection, immunisations, etc.</w:t>
            </w:r>
          </w:p>
          <w:p w14:paraId="3542DBA7" w14:textId="77777777" w:rsidR="00933DE0" w:rsidRPr="001B3BE3" w:rsidRDefault="00933DE0" w:rsidP="00933DE0">
            <w:pPr>
              <w:spacing w:line="276" w:lineRule="auto"/>
              <w:ind w:left="270" w:hanging="270"/>
              <w:jc w:val="both"/>
              <w:rPr>
                <w:rFonts w:ascii="Arial" w:hAnsi="Arial" w:cs="Arial"/>
                <w:sz w:val="18"/>
              </w:rPr>
            </w:pPr>
          </w:p>
          <w:p w14:paraId="60F15548" w14:textId="77777777" w:rsidR="00933DE0" w:rsidRPr="001B3BE3" w:rsidRDefault="00933DE0" w:rsidP="00933DE0">
            <w:pPr>
              <w:pStyle w:val="ListParagraph"/>
              <w:numPr>
                <w:ilvl w:val="0"/>
                <w:numId w:val="10"/>
              </w:numPr>
              <w:spacing w:line="276" w:lineRule="auto"/>
              <w:ind w:left="270" w:hanging="270"/>
              <w:jc w:val="both"/>
              <w:rPr>
                <w:rFonts w:ascii="Arial" w:hAnsi="Arial" w:cs="Arial"/>
                <w:sz w:val="18"/>
              </w:rPr>
            </w:pPr>
            <w:r>
              <w:rPr>
                <w:rFonts w:ascii="Arial" w:hAnsi="Arial"/>
                <w:sz w:val="18"/>
              </w:rPr>
              <w:t xml:space="preserve">Coûts liés à la formation du personnel ou au </w:t>
            </w:r>
            <w:r>
              <w:rPr>
                <w:rFonts w:ascii="Arial" w:hAnsi="Arial"/>
                <w:sz w:val="18"/>
              </w:rPr>
              <w:lastRenderedPageBreak/>
              <w:t>développement par rapport à de nouvelles techniques requises pour leur rôle dans le cadre du projet.</w:t>
            </w:r>
          </w:p>
          <w:p w14:paraId="25618D2A" w14:textId="77777777" w:rsidR="00933DE0" w:rsidRPr="001B3BE3" w:rsidRDefault="00933DE0" w:rsidP="00933DE0">
            <w:pPr>
              <w:spacing w:line="276" w:lineRule="auto"/>
              <w:ind w:left="270" w:hanging="270"/>
              <w:jc w:val="both"/>
              <w:rPr>
                <w:rFonts w:ascii="Arial" w:hAnsi="Arial" w:cs="Arial"/>
                <w:sz w:val="18"/>
              </w:rPr>
            </w:pPr>
          </w:p>
          <w:p w14:paraId="2A714E37" w14:textId="77777777" w:rsidR="00933DE0" w:rsidRPr="001B3BE3" w:rsidRDefault="00933DE0" w:rsidP="00933DE0">
            <w:pPr>
              <w:pStyle w:val="ListParagraph"/>
              <w:numPr>
                <w:ilvl w:val="0"/>
                <w:numId w:val="10"/>
              </w:numPr>
              <w:spacing w:line="276" w:lineRule="auto"/>
              <w:ind w:left="270" w:hanging="270"/>
              <w:jc w:val="both"/>
              <w:rPr>
                <w:rFonts w:ascii="Arial" w:hAnsi="Arial" w:cs="Arial"/>
                <w:sz w:val="18"/>
              </w:rPr>
            </w:pPr>
            <w:r>
              <w:rPr>
                <w:rFonts w:ascii="Arial" w:hAnsi="Arial"/>
                <w:sz w:val="18"/>
              </w:rPr>
              <w:t xml:space="preserve">Réunions et événements relatifs au projet (p. ex., locations de salles de réunion). Un service de traiteur ne représente </w:t>
            </w:r>
            <w:r>
              <w:rPr>
                <w:rFonts w:ascii="Arial" w:hAnsi="Arial"/>
                <w:sz w:val="18"/>
                <w:u w:val="single"/>
              </w:rPr>
              <w:t>pas</w:t>
            </w:r>
            <w:r>
              <w:rPr>
                <w:rFonts w:ascii="Arial" w:hAnsi="Arial"/>
                <w:sz w:val="18"/>
              </w:rPr>
              <w:t xml:space="preserve"> une dépense admissible, à l’exclusion de rafraîchissements légers.</w:t>
            </w:r>
          </w:p>
          <w:p w14:paraId="57D2522B" w14:textId="77777777" w:rsidR="00933DE0" w:rsidRPr="001B3BE3" w:rsidRDefault="00933DE0" w:rsidP="00933DE0">
            <w:pPr>
              <w:spacing w:line="276" w:lineRule="auto"/>
              <w:ind w:left="270" w:hanging="270"/>
              <w:jc w:val="both"/>
              <w:rPr>
                <w:rFonts w:ascii="Arial" w:hAnsi="Arial" w:cs="Arial"/>
                <w:sz w:val="18"/>
              </w:rPr>
            </w:pPr>
          </w:p>
          <w:p w14:paraId="3AA732AF" w14:textId="77777777" w:rsidR="00933DE0" w:rsidRPr="001B3BE3" w:rsidRDefault="00933DE0" w:rsidP="00933DE0">
            <w:pPr>
              <w:pStyle w:val="ListParagraph"/>
              <w:numPr>
                <w:ilvl w:val="0"/>
                <w:numId w:val="10"/>
              </w:numPr>
              <w:spacing w:line="276" w:lineRule="auto"/>
              <w:ind w:left="270" w:hanging="270"/>
              <w:jc w:val="both"/>
              <w:rPr>
                <w:rFonts w:ascii="Arial" w:hAnsi="Arial" w:cs="Arial"/>
                <w:sz w:val="18"/>
              </w:rPr>
            </w:pPr>
            <w:r>
              <w:rPr>
                <w:rFonts w:ascii="Arial" w:hAnsi="Arial"/>
                <w:sz w:val="18"/>
              </w:rPr>
              <w:t>Coûts d'élaboration d’information basée sur le Web, y compris les frais de maintenance d’un site Web.</w:t>
            </w:r>
          </w:p>
          <w:p w14:paraId="3B502F1A" w14:textId="77777777" w:rsidR="00933DE0" w:rsidRPr="001B3BE3" w:rsidRDefault="00933DE0" w:rsidP="00933DE0">
            <w:pPr>
              <w:spacing w:line="276" w:lineRule="auto"/>
              <w:ind w:left="270" w:hanging="270"/>
              <w:jc w:val="both"/>
              <w:rPr>
                <w:rFonts w:ascii="Arial" w:hAnsi="Arial" w:cs="Arial"/>
                <w:sz w:val="18"/>
              </w:rPr>
            </w:pPr>
          </w:p>
          <w:p w14:paraId="0E2BD5E2" w14:textId="77777777" w:rsidR="00933DE0" w:rsidRPr="00933DE0" w:rsidRDefault="00933DE0" w:rsidP="00933DE0">
            <w:pPr>
              <w:pStyle w:val="ListParagraph"/>
              <w:numPr>
                <w:ilvl w:val="0"/>
                <w:numId w:val="10"/>
              </w:numPr>
              <w:spacing w:line="276" w:lineRule="auto"/>
              <w:ind w:left="270" w:hanging="270"/>
              <w:jc w:val="both"/>
              <w:rPr>
                <w:rFonts w:ascii="Arial" w:hAnsi="Arial" w:cs="Arial"/>
                <w:sz w:val="18"/>
              </w:rPr>
            </w:pPr>
            <w:r>
              <w:rPr>
                <w:rFonts w:ascii="Arial" w:hAnsi="Arial"/>
                <w:sz w:val="18"/>
              </w:rPr>
              <w:t>Coûts associés à la diffusion de résultats, y compris les coûts de traduction.</w:t>
            </w:r>
          </w:p>
        </w:tc>
        <w:tc>
          <w:tcPr>
            <w:tcW w:w="5090" w:type="dxa"/>
            <w:shd w:val="clear" w:color="auto" w:fill="auto"/>
          </w:tcPr>
          <w:p w14:paraId="42B905FC" w14:textId="77777777" w:rsidR="00933DE0" w:rsidRPr="001B3BE3" w:rsidRDefault="00933DE0" w:rsidP="00933DE0">
            <w:pPr>
              <w:pStyle w:val="ListParagraph"/>
              <w:spacing w:line="276" w:lineRule="auto"/>
              <w:rPr>
                <w:rFonts w:ascii="Arial" w:hAnsi="Arial" w:cs="Arial"/>
                <w:sz w:val="18"/>
              </w:rPr>
            </w:pPr>
          </w:p>
          <w:p w14:paraId="4F2767F1" w14:textId="77777777" w:rsidR="00933DE0" w:rsidRPr="001B3BE3" w:rsidRDefault="00933DE0" w:rsidP="00933DE0">
            <w:pPr>
              <w:pStyle w:val="ListParagraph"/>
              <w:numPr>
                <w:ilvl w:val="0"/>
                <w:numId w:val="9"/>
              </w:numPr>
              <w:spacing w:line="276" w:lineRule="auto"/>
              <w:ind w:left="252" w:hanging="252"/>
              <w:jc w:val="both"/>
              <w:rPr>
                <w:rFonts w:ascii="Arial" w:hAnsi="Arial" w:cs="Arial"/>
                <w:sz w:val="18"/>
              </w:rPr>
            </w:pPr>
            <w:r>
              <w:rPr>
                <w:rFonts w:ascii="Arial" w:hAnsi="Arial"/>
                <w:sz w:val="18"/>
              </w:rPr>
              <w:t>Coûts qui ne sont pas directement associés à l’atteinte des résultats prévus et des jalons définis dans l’entente de financement.</w:t>
            </w:r>
          </w:p>
          <w:p w14:paraId="35CB68C2" w14:textId="77777777" w:rsidR="00933DE0" w:rsidRPr="001B3BE3" w:rsidRDefault="00933DE0" w:rsidP="00933DE0">
            <w:pPr>
              <w:spacing w:line="276" w:lineRule="auto"/>
              <w:jc w:val="both"/>
              <w:rPr>
                <w:rFonts w:ascii="Arial" w:hAnsi="Arial" w:cs="Arial"/>
                <w:sz w:val="18"/>
              </w:rPr>
            </w:pPr>
          </w:p>
          <w:p w14:paraId="577EBD02" w14:textId="77777777" w:rsidR="00933DE0" w:rsidRPr="001B3BE3" w:rsidRDefault="00933DE0" w:rsidP="00933DE0">
            <w:pPr>
              <w:pStyle w:val="ListParagraph"/>
              <w:numPr>
                <w:ilvl w:val="0"/>
                <w:numId w:val="9"/>
              </w:numPr>
              <w:spacing w:line="276" w:lineRule="auto"/>
              <w:ind w:left="252" w:hanging="252"/>
              <w:jc w:val="both"/>
              <w:rPr>
                <w:rFonts w:ascii="Arial" w:hAnsi="Arial" w:cs="Arial"/>
                <w:sz w:val="18"/>
              </w:rPr>
            </w:pPr>
            <w:r>
              <w:rPr>
                <w:rFonts w:ascii="Arial" w:hAnsi="Arial"/>
                <w:sz w:val="18"/>
              </w:rPr>
              <w:t>Dépenses personnelles.</w:t>
            </w:r>
          </w:p>
          <w:p w14:paraId="3425CA19" w14:textId="77777777" w:rsidR="00933DE0" w:rsidRPr="001B3BE3" w:rsidRDefault="00933DE0" w:rsidP="00933DE0">
            <w:pPr>
              <w:spacing w:line="276" w:lineRule="auto"/>
              <w:jc w:val="both"/>
              <w:rPr>
                <w:rFonts w:ascii="Arial" w:hAnsi="Arial" w:cs="Arial"/>
                <w:sz w:val="18"/>
              </w:rPr>
            </w:pPr>
          </w:p>
          <w:p w14:paraId="28C6E8CA" w14:textId="77777777" w:rsidR="00933DE0" w:rsidRPr="001B3BE3" w:rsidRDefault="00933DE0" w:rsidP="00933DE0">
            <w:pPr>
              <w:pStyle w:val="ListParagraph"/>
              <w:numPr>
                <w:ilvl w:val="0"/>
                <w:numId w:val="9"/>
              </w:numPr>
              <w:spacing w:line="276" w:lineRule="auto"/>
              <w:ind w:left="252" w:hanging="252"/>
              <w:jc w:val="both"/>
              <w:rPr>
                <w:rFonts w:ascii="Arial" w:hAnsi="Arial" w:cs="Arial"/>
                <w:sz w:val="18"/>
              </w:rPr>
            </w:pPr>
            <w:r>
              <w:rPr>
                <w:rFonts w:ascii="Arial" w:hAnsi="Arial"/>
                <w:sz w:val="18"/>
              </w:rPr>
              <w:t>Coûts relatifs aux prix et à la reconnaissance du personnel.</w:t>
            </w:r>
          </w:p>
          <w:p w14:paraId="71DD60B3" w14:textId="77777777" w:rsidR="00933DE0" w:rsidRPr="001B3BE3" w:rsidRDefault="00933DE0" w:rsidP="00933DE0">
            <w:pPr>
              <w:spacing w:line="276" w:lineRule="auto"/>
              <w:jc w:val="both"/>
              <w:rPr>
                <w:rFonts w:ascii="Arial" w:hAnsi="Arial" w:cs="Arial"/>
                <w:sz w:val="18"/>
              </w:rPr>
            </w:pPr>
          </w:p>
          <w:p w14:paraId="54D3B2A1" w14:textId="77777777" w:rsidR="00933DE0" w:rsidRPr="001B3BE3" w:rsidRDefault="00933DE0" w:rsidP="00933DE0">
            <w:pPr>
              <w:pStyle w:val="ListParagraph"/>
              <w:numPr>
                <w:ilvl w:val="0"/>
                <w:numId w:val="9"/>
              </w:numPr>
              <w:spacing w:line="276" w:lineRule="auto"/>
              <w:ind w:left="252" w:hanging="252"/>
              <w:jc w:val="both"/>
              <w:rPr>
                <w:rFonts w:ascii="Arial" w:hAnsi="Arial" w:cs="Arial"/>
                <w:sz w:val="18"/>
              </w:rPr>
            </w:pPr>
            <w:r>
              <w:rPr>
                <w:rFonts w:ascii="Arial" w:hAnsi="Arial"/>
                <w:sz w:val="18"/>
              </w:rPr>
              <w:t>Frais de représentation, cadeaux et boissons alcoolisées.</w:t>
            </w:r>
          </w:p>
          <w:p w14:paraId="5878B137" w14:textId="77777777" w:rsidR="00933DE0" w:rsidRPr="001B3BE3" w:rsidRDefault="00933DE0" w:rsidP="00933DE0">
            <w:pPr>
              <w:spacing w:line="276" w:lineRule="auto"/>
              <w:jc w:val="both"/>
              <w:rPr>
                <w:rFonts w:ascii="Arial" w:hAnsi="Arial" w:cs="Arial"/>
                <w:sz w:val="18"/>
              </w:rPr>
            </w:pPr>
          </w:p>
          <w:p w14:paraId="293365F2" w14:textId="77777777" w:rsidR="00933DE0" w:rsidRPr="001B3BE3" w:rsidRDefault="00933DE0" w:rsidP="00933DE0">
            <w:pPr>
              <w:pStyle w:val="ListParagraph"/>
              <w:numPr>
                <w:ilvl w:val="0"/>
                <w:numId w:val="9"/>
              </w:numPr>
              <w:spacing w:line="276" w:lineRule="auto"/>
              <w:ind w:left="252" w:hanging="252"/>
              <w:jc w:val="both"/>
              <w:rPr>
                <w:rFonts w:ascii="Arial" w:hAnsi="Arial" w:cs="Arial"/>
                <w:sz w:val="18"/>
              </w:rPr>
            </w:pPr>
            <w:r>
              <w:rPr>
                <w:rFonts w:ascii="Arial" w:hAnsi="Arial"/>
                <w:sz w:val="18"/>
              </w:rPr>
              <w:t>Dépenses associées aux activités de lobbyisme ou aux relations gouvernementales.</w:t>
            </w:r>
          </w:p>
          <w:p w14:paraId="33DABC06" w14:textId="77777777" w:rsidR="00933DE0" w:rsidRPr="001B3BE3" w:rsidRDefault="00933DE0" w:rsidP="00933DE0">
            <w:pPr>
              <w:spacing w:line="276" w:lineRule="auto"/>
              <w:jc w:val="both"/>
              <w:rPr>
                <w:rFonts w:ascii="Arial" w:hAnsi="Arial" w:cs="Arial"/>
                <w:sz w:val="18"/>
              </w:rPr>
            </w:pPr>
          </w:p>
          <w:p w14:paraId="696BF41D" w14:textId="77777777" w:rsidR="00933DE0" w:rsidRPr="001B3BE3" w:rsidRDefault="00933DE0" w:rsidP="00933DE0">
            <w:pPr>
              <w:pStyle w:val="ListParagraph"/>
              <w:numPr>
                <w:ilvl w:val="0"/>
                <w:numId w:val="9"/>
              </w:numPr>
              <w:spacing w:line="276" w:lineRule="auto"/>
              <w:ind w:left="252" w:hanging="252"/>
              <w:jc w:val="both"/>
              <w:rPr>
                <w:rFonts w:ascii="Arial" w:hAnsi="Arial" w:cs="Arial"/>
                <w:sz w:val="18"/>
              </w:rPr>
            </w:pPr>
            <w:r>
              <w:rPr>
                <w:rFonts w:ascii="Arial" w:hAnsi="Arial"/>
                <w:sz w:val="18"/>
              </w:rPr>
              <w:t>Frais fiscaux (incluant, sans s'y limiter, les taxes de vente, la production des déclarations de revenus, les impôts sur le revenu).</w:t>
            </w:r>
          </w:p>
          <w:p w14:paraId="6D80F6BE" w14:textId="77777777" w:rsidR="00933DE0" w:rsidRPr="001B3BE3" w:rsidRDefault="00933DE0" w:rsidP="00933DE0">
            <w:pPr>
              <w:pStyle w:val="ListParagraph"/>
              <w:spacing w:line="276" w:lineRule="auto"/>
              <w:jc w:val="both"/>
              <w:rPr>
                <w:rFonts w:ascii="Arial" w:hAnsi="Arial" w:cs="Arial"/>
                <w:sz w:val="18"/>
              </w:rPr>
            </w:pPr>
          </w:p>
          <w:p w14:paraId="0786BAAF" w14:textId="77777777" w:rsidR="00933DE0" w:rsidRPr="001B3BE3" w:rsidRDefault="00933DE0" w:rsidP="00933DE0">
            <w:pPr>
              <w:pStyle w:val="ListParagraph"/>
              <w:numPr>
                <w:ilvl w:val="0"/>
                <w:numId w:val="9"/>
              </w:numPr>
              <w:spacing w:line="276" w:lineRule="auto"/>
              <w:ind w:left="252" w:hanging="252"/>
              <w:jc w:val="both"/>
              <w:rPr>
                <w:rFonts w:ascii="Arial" w:hAnsi="Arial" w:cs="Arial"/>
                <w:sz w:val="18"/>
              </w:rPr>
            </w:pPr>
            <w:r>
              <w:rPr>
                <w:rFonts w:ascii="Arial" w:hAnsi="Arial"/>
                <w:sz w:val="18"/>
              </w:rPr>
              <w:t>Frais juridiques, frais comptables et honoraires de conseil en lien avec l’élaboration de proposition.</w:t>
            </w:r>
          </w:p>
          <w:p w14:paraId="56B46F2A" w14:textId="77777777" w:rsidR="00933DE0" w:rsidRPr="001B3BE3" w:rsidRDefault="00933DE0" w:rsidP="00933DE0">
            <w:pPr>
              <w:pStyle w:val="ListParagraph"/>
              <w:spacing w:line="276" w:lineRule="auto"/>
              <w:jc w:val="both"/>
              <w:rPr>
                <w:rFonts w:ascii="Arial" w:hAnsi="Arial" w:cs="Arial"/>
                <w:sz w:val="18"/>
              </w:rPr>
            </w:pPr>
          </w:p>
          <w:p w14:paraId="631982CF" w14:textId="77777777" w:rsidR="00933DE0" w:rsidRPr="001B3BE3" w:rsidRDefault="00933DE0" w:rsidP="00933DE0">
            <w:pPr>
              <w:pStyle w:val="ListParagraph"/>
              <w:numPr>
                <w:ilvl w:val="0"/>
                <w:numId w:val="9"/>
              </w:numPr>
              <w:spacing w:line="276" w:lineRule="auto"/>
              <w:ind w:left="252" w:hanging="252"/>
              <w:jc w:val="both"/>
              <w:rPr>
                <w:rFonts w:ascii="Arial" w:hAnsi="Arial" w:cs="Arial"/>
                <w:sz w:val="18"/>
              </w:rPr>
            </w:pPr>
            <w:r>
              <w:rPr>
                <w:rFonts w:ascii="Arial" w:hAnsi="Arial"/>
                <w:sz w:val="18"/>
              </w:rPr>
              <w:t>Amendes et pénalités.</w:t>
            </w:r>
          </w:p>
          <w:p w14:paraId="64BC3642" w14:textId="77777777" w:rsidR="00933DE0" w:rsidRPr="001B3BE3" w:rsidRDefault="00933DE0" w:rsidP="00933DE0">
            <w:pPr>
              <w:spacing w:line="276" w:lineRule="auto"/>
              <w:jc w:val="both"/>
              <w:rPr>
                <w:rFonts w:ascii="Arial" w:hAnsi="Arial" w:cs="Arial"/>
                <w:sz w:val="18"/>
              </w:rPr>
            </w:pPr>
          </w:p>
          <w:p w14:paraId="237A73DF" w14:textId="77777777" w:rsidR="00933DE0" w:rsidRPr="001B3BE3" w:rsidRDefault="00933DE0" w:rsidP="00933DE0">
            <w:pPr>
              <w:pStyle w:val="ListParagraph"/>
              <w:numPr>
                <w:ilvl w:val="0"/>
                <w:numId w:val="9"/>
              </w:numPr>
              <w:spacing w:line="276" w:lineRule="auto"/>
              <w:ind w:left="252" w:hanging="252"/>
              <w:jc w:val="both"/>
              <w:rPr>
                <w:rFonts w:ascii="Arial" w:hAnsi="Arial" w:cs="Arial"/>
                <w:sz w:val="18"/>
              </w:rPr>
            </w:pPr>
            <w:r>
              <w:rPr>
                <w:rFonts w:ascii="Arial" w:hAnsi="Arial"/>
                <w:sz w:val="18"/>
              </w:rPr>
              <w:t>Coût des services publics de base.</w:t>
            </w:r>
          </w:p>
          <w:p w14:paraId="2BBBE916" w14:textId="77777777" w:rsidR="00933DE0" w:rsidRPr="001B3BE3" w:rsidRDefault="00933DE0" w:rsidP="00933DE0">
            <w:pPr>
              <w:spacing w:line="276" w:lineRule="auto"/>
              <w:jc w:val="both"/>
              <w:rPr>
                <w:rFonts w:ascii="Arial" w:hAnsi="Arial" w:cs="Arial"/>
                <w:sz w:val="18"/>
              </w:rPr>
            </w:pPr>
          </w:p>
          <w:p w14:paraId="62E9B7DF" w14:textId="77777777" w:rsidR="00933DE0" w:rsidRPr="001B3BE3" w:rsidRDefault="00933DE0" w:rsidP="00933DE0">
            <w:pPr>
              <w:pStyle w:val="ListParagraph"/>
              <w:numPr>
                <w:ilvl w:val="0"/>
                <w:numId w:val="9"/>
              </w:numPr>
              <w:spacing w:line="276" w:lineRule="auto"/>
              <w:ind w:left="252" w:hanging="252"/>
              <w:jc w:val="both"/>
              <w:rPr>
                <w:rFonts w:ascii="Arial" w:hAnsi="Arial" w:cs="Arial"/>
                <w:sz w:val="18"/>
              </w:rPr>
            </w:pPr>
            <w:r>
              <w:rPr>
                <w:rFonts w:ascii="Arial" w:hAnsi="Arial"/>
                <w:sz w:val="18"/>
              </w:rPr>
              <w:t>Dons sous forme de fonds commercial et autres actifs incorporels (comme la propriété intellectuelle, notamment les licences et les brevets).</w:t>
            </w:r>
          </w:p>
          <w:p w14:paraId="3B3FDFC5" w14:textId="77777777" w:rsidR="00933DE0" w:rsidRPr="001B3BE3" w:rsidRDefault="00933DE0" w:rsidP="00933DE0">
            <w:pPr>
              <w:spacing w:line="276" w:lineRule="auto"/>
              <w:jc w:val="both"/>
              <w:rPr>
                <w:rFonts w:ascii="Arial" w:hAnsi="Arial" w:cs="Arial"/>
                <w:sz w:val="18"/>
              </w:rPr>
            </w:pPr>
          </w:p>
          <w:p w14:paraId="1C7868C7" w14:textId="77777777" w:rsidR="00933DE0" w:rsidRPr="001B3BE3" w:rsidRDefault="00933DE0" w:rsidP="00933DE0">
            <w:pPr>
              <w:pStyle w:val="ListParagraph"/>
              <w:numPr>
                <w:ilvl w:val="0"/>
                <w:numId w:val="9"/>
              </w:numPr>
              <w:spacing w:line="276" w:lineRule="auto"/>
              <w:ind w:left="252" w:hanging="252"/>
              <w:jc w:val="both"/>
              <w:rPr>
                <w:rFonts w:ascii="Arial" w:hAnsi="Arial" w:cs="Arial"/>
                <w:sz w:val="18"/>
              </w:rPr>
            </w:pPr>
            <w:r>
              <w:rPr>
                <w:rFonts w:ascii="Arial" w:hAnsi="Arial"/>
                <w:sz w:val="18"/>
              </w:rPr>
              <w:t>Coût d'occasion perdue, soit des revenus perdus par le bénéficiaire du fait qu’il n’a pas mené à bien certaines activités bénéfiques en raison de sa participation au projet du CABHI et aux programmes connexes par l’intermédiaire de la présente entente.</w:t>
            </w:r>
          </w:p>
          <w:p w14:paraId="52585676" w14:textId="77777777" w:rsidR="00933DE0" w:rsidRPr="001B3BE3" w:rsidRDefault="00933DE0" w:rsidP="00933DE0">
            <w:pPr>
              <w:spacing w:line="276" w:lineRule="auto"/>
              <w:jc w:val="both"/>
              <w:rPr>
                <w:rFonts w:ascii="Arial" w:hAnsi="Arial" w:cs="Arial"/>
                <w:sz w:val="18"/>
              </w:rPr>
            </w:pPr>
          </w:p>
          <w:p w14:paraId="21F9C13D" w14:textId="77777777" w:rsidR="00933DE0" w:rsidRPr="001B3BE3" w:rsidRDefault="00933DE0" w:rsidP="00933DE0">
            <w:pPr>
              <w:pStyle w:val="ListParagraph"/>
              <w:numPr>
                <w:ilvl w:val="0"/>
                <w:numId w:val="9"/>
              </w:numPr>
              <w:spacing w:line="276" w:lineRule="auto"/>
              <w:ind w:left="252" w:hanging="252"/>
              <w:jc w:val="both"/>
              <w:rPr>
                <w:rFonts w:ascii="Arial" w:hAnsi="Arial" w:cs="Arial"/>
                <w:sz w:val="18"/>
              </w:rPr>
            </w:pPr>
            <w:r>
              <w:rPr>
                <w:rFonts w:ascii="Arial" w:hAnsi="Arial"/>
                <w:sz w:val="18"/>
              </w:rPr>
              <w:t>Rabais et frais d'intérêts standards.</w:t>
            </w:r>
          </w:p>
          <w:p w14:paraId="057708DF" w14:textId="77777777" w:rsidR="00933DE0" w:rsidRPr="001B3BE3" w:rsidRDefault="00933DE0" w:rsidP="00933DE0">
            <w:pPr>
              <w:pStyle w:val="ListParagraph"/>
              <w:spacing w:line="276" w:lineRule="auto"/>
              <w:ind w:left="252"/>
              <w:jc w:val="both"/>
              <w:rPr>
                <w:rFonts w:ascii="Arial" w:hAnsi="Arial" w:cs="Arial"/>
                <w:sz w:val="18"/>
              </w:rPr>
            </w:pPr>
          </w:p>
          <w:p w14:paraId="429BFFF8" w14:textId="77777777" w:rsidR="00933DE0" w:rsidRPr="001B3BE3" w:rsidRDefault="00933DE0" w:rsidP="00933DE0">
            <w:pPr>
              <w:pStyle w:val="ListParagraph"/>
              <w:numPr>
                <w:ilvl w:val="0"/>
                <w:numId w:val="9"/>
              </w:numPr>
              <w:spacing w:line="276" w:lineRule="auto"/>
              <w:ind w:left="252" w:hanging="252"/>
              <w:jc w:val="both"/>
              <w:rPr>
                <w:rFonts w:ascii="Arial" w:hAnsi="Arial" w:cs="Arial"/>
                <w:sz w:val="18"/>
              </w:rPr>
            </w:pPr>
            <w:r>
              <w:rPr>
                <w:rFonts w:ascii="Arial" w:hAnsi="Arial"/>
                <w:sz w:val="18"/>
              </w:rPr>
              <w:t>Pertes d'investissement, créances irrécouvrables et dépenses de recouvrement connexes.</w:t>
            </w:r>
          </w:p>
          <w:p w14:paraId="75B7A655" w14:textId="77777777" w:rsidR="00933DE0" w:rsidRPr="001B3BE3" w:rsidRDefault="00933DE0" w:rsidP="00933DE0">
            <w:pPr>
              <w:pStyle w:val="ListParagraph"/>
              <w:spacing w:line="276" w:lineRule="auto"/>
              <w:ind w:left="252"/>
              <w:jc w:val="both"/>
              <w:rPr>
                <w:rFonts w:ascii="Arial" w:hAnsi="Arial" w:cs="Arial"/>
                <w:sz w:val="18"/>
              </w:rPr>
            </w:pPr>
          </w:p>
          <w:p w14:paraId="2174F188" w14:textId="77777777" w:rsidR="00933DE0" w:rsidRPr="001B3BE3" w:rsidRDefault="00933DE0" w:rsidP="00933DE0">
            <w:pPr>
              <w:pStyle w:val="ListParagraph"/>
              <w:numPr>
                <w:ilvl w:val="0"/>
                <w:numId w:val="9"/>
              </w:numPr>
              <w:spacing w:line="276" w:lineRule="auto"/>
              <w:ind w:left="252" w:hanging="252"/>
              <w:jc w:val="both"/>
              <w:rPr>
                <w:rFonts w:ascii="Arial" w:hAnsi="Arial" w:cs="Arial"/>
                <w:sz w:val="18"/>
              </w:rPr>
            </w:pPr>
            <w:r>
              <w:rPr>
                <w:rFonts w:ascii="Arial" w:hAnsi="Arial"/>
                <w:sz w:val="18"/>
              </w:rPr>
              <w:t>Pertes dans le cadre d’autres projets ou contrats.</w:t>
            </w:r>
          </w:p>
          <w:p w14:paraId="1E62C28E" w14:textId="77777777" w:rsidR="00933DE0" w:rsidRPr="001B3BE3" w:rsidRDefault="00933DE0" w:rsidP="00933DE0">
            <w:pPr>
              <w:spacing w:line="276" w:lineRule="auto"/>
              <w:jc w:val="both"/>
              <w:rPr>
                <w:rFonts w:ascii="Arial" w:hAnsi="Arial" w:cs="Arial"/>
                <w:sz w:val="18"/>
              </w:rPr>
            </w:pPr>
          </w:p>
          <w:p w14:paraId="4DCE7463" w14:textId="77777777" w:rsidR="00933DE0" w:rsidRPr="00933DE0" w:rsidRDefault="00933DE0" w:rsidP="00933DE0">
            <w:pPr>
              <w:pStyle w:val="ListParagraph"/>
              <w:numPr>
                <w:ilvl w:val="0"/>
                <w:numId w:val="9"/>
              </w:numPr>
              <w:spacing w:line="276" w:lineRule="auto"/>
              <w:ind w:left="252" w:hanging="252"/>
              <w:jc w:val="both"/>
              <w:rPr>
                <w:rFonts w:ascii="Arial" w:hAnsi="Arial" w:cs="Arial"/>
                <w:sz w:val="18"/>
              </w:rPr>
            </w:pPr>
            <w:r>
              <w:rPr>
                <w:rFonts w:ascii="Arial" w:hAnsi="Arial"/>
                <w:sz w:val="18"/>
              </w:rPr>
              <w:t>Coûts de biens corporels tels que, mais sans s’y limiter, terrain, bâtiments, véhicules et infrastructure – y compris la dépréciation des actifs payés par le CABHI.</w:t>
            </w:r>
          </w:p>
        </w:tc>
      </w:tr>
    </w:tbl>
    <w:p w14:paraId="1FD18D6C" w14:textId="77777777" w:rsidR="00D043C6" w:rsidRPr="001B3BE3" w:rsidRDefault="00D043C6" w:rsidP="009139DA">
      <w:pPr>
        <w:spacing w:after="0" w:line="240" w:lineRule="auto"/>
        <w:rPr>
          <w:rFonts w:ascii="Arial" w:hAnsi="Arial" w:cs="Arial"/>
          <w:sz w:val="20"/>
        </w:rPr>
      </w:pPr>
    </w:p>
    <w:sectPr w:rsidR="00D043C6" w:rsidRPr="001B3BE3" w:rsidSect="00236A58">
      <w:headerReference w:type="default" r:id="rId9"/>
      <w:footerReference w:type="default" r:id="rId10"/>
      <w:pgSz w:w="12240" w:h="15840"/>
      <w:pgMar w:top="180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4CD35" w14:textId="77777777" w:rsidR="00031760" w:rsidRDefault="00031760" w:rsidP="00D46581">
      <w:pPr>
        <w:spacing w:after="0" w:line="240" w:lineRule="auto"/>
      </w:pPr>
      <w:r>
        <w:separator/>
      </w:r>
    </w:p>
  </w:endnote>
  <w:endnote w:type="continuationSeparator" w:id="0">
    <w:p w14:paraId="2B06D2CF" w14:textId="77777777" w:rsidR="00031760" w:rsidRDefault="00031760" w:rsidP="00D4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7B2B2" w14:textId="77777777" w:rsidR="005B24DB" w:rsidRPr="00E64FA8" w:rsidRDefault="00E508CF">
    <w:pPr>
      <w:pStyle w:val="Footer"/>
      <w:rPr>
        <w:rFonts w:ascii="Arial" w:hAnsi="Arial" w:cs="Arial"/>
        <w:color w:val="808080" w:themeColor="background1" w:themeShade="80"/>
      </w:rPr>
    </w:pPr>
    <w:r>
      <w:rPr>
        <w:rFonts w:ascii="Arial" w:hAnsi="Arial" w:cs="Arial"/>
        <w:color w:val="808080" w:themeColor="background1" w:themeShade="80"/>
        <w:sz w:val="18"/>
      </w:rPr>
      <w:fldChar w:fldCharType="begin"/>
    </w:r>
    <w:r>
      <w:rPr>
        <w:rFonts w:ascii="Arial" w:hAnsi="Arial" w:cs="Arial"/>
        <w:color w:val="808080" w:themeColor="background1" w:themeShade="80"/>
        <w:sz w:val="18"/>
      </w:rPr>
      <w:instrText xml:space="preserve"> DATE \@ "d MMMM yyyy HH:mm:ss" </w:instrText>
    </w:r>
    <w:r>
      <w:rPr>
        <w:rFonts w:ascii="Arial" w:hAnsi="Arial" w:cs="Arial"/>
        <w:color w:val="808080" w:themeColor="background1" w:themeShade="80"/>
        <w:sz w:val="18"/>
      </w:rPr>
      <w:fldChar w:fldCharType="separate"/>
    </w:r>
    <w:r w:rsidR="00A361ED">
      <w:rPr>
        <w:rFonts w:ascii="Arial" w:hAnsi="Arial" w:cs="Arial"/>
        <w:noProof/>
        <w:color w:val="808080" w:themeColor="background1" w:themeShade="80"/>
        <w:sz w:val="18"/>
      </w:rPr>
      <w:t>14 février 2018 11:44:29</w:t>
    </w:r>
    <w:r>
      <w:rPr>
        <w:rFonts w:ascii="Arial" w:hAnsi="Arial" w:cs="Arial"/>
        <w:color w:val="808080" w:themeColor="background1" w:themeShade="80"/>
        <w:sz w:val="18"/>
      </w:rPr>
      <w:fldChar w:fldCharType="end"/>
    </w:r>
    <w:r>
      <w:ptab w:relativeTo="margin" w:alignment="center" w:leader="none"/>
    </w:r>
    <w:r>
      <w:ptab w:relativeTo="margin" w:alignment="center" w:leader="none"/>
    </w:r>
    <w:r>
      <w:ptab w:relativeTo="margin" w:alignment="right" w:leader="none"/>
    </w:r>
    <w:r>
      <w:rPr>
        <w:rFonts w:ascii="Arial" w:hAnsi="Arial"/>
        <w:color w:val="808080" w:themeColor="background1" w:themeShade="80"/>
        <w:sz w:val="18"/>
        <w:szCs w:val="18"/>
      </w:rPr>
      <w:t xml:space="preserve">Page </w:t>
    </w:r>
    <w:r w:rsidR="009C6A64" w:rsidRPr="00E64FA8">
      <w:rPr>
        <w:rFonts w:ascii="Arial" w:hAnsi="Arial" w:cs="Arial"/>
        <w:color w:val="808080" w:themeColor="background1" w:themeShade="80"/>
        <w:sz w:val="18"/>
        <w:szCs w:val="18"/>
      </w:rPr>
      <w:fldChar w:fldCharType="begin"/>
    </w:r>
    <w:r w:rsidR="009C6A64" w:rsidRPr="00E64FA8">
      <w:rPr>
        <w:rFonts w:ascii="Arial" w:hAnsi="Arial" w:cs="Arial"/>
        <w:color w:val="808080" w:themeColor="background1" w:themeShade="80"/>
        <w:sz w:val="18"/>
        <w:szCs w:val="18"/>
      </w:rPr>
      <w:instrText xml:space="preserve"> PAGE   \* MERGEFORMAT </w:instrText>
    </w:r>
    <w:r w:rsidR="009C6A64" w:rsidRPr="00E64FA8">
      <w:rPr>
        <w:rFonts w:ascii="Arial" w:hAnsi="Arial" w:cs="Arial"/>
        <w:color w:val="808080" w:themeColor="background1" w:themeShade="80"/>
        <w:sz w:val="18"/>
        <w:szCs w:val="18"/>
      </w:rPr>
      <w:fldChar w:fldCharType="separate"/>
    </w:r>
    <w:r w:rsidR="00A361ED">
      <w:rPr>
        <w:rFonts w:ascii="Arial" w:hAnsi="Arial" w:cs="Arial"/>
        <w:noProof/>
        <w:color w:val="808080" w:themeColor="background1" w:themeShade="80"/>
        <w:sz w:val="18"/>
        <w:szCs w:val="18"/>
      </w:rPr>
      <w:t>2</w:t>
    </w:r>
    <w:r w:rsidR="009C6A64" w:rsidRPr="00E64FA8">
      <w:rPr>
        <w:rFonts w:ascii="Arial" w:hAnsi="Arial" w:cs="Arial"/>
        <w:color w:val="808080" w:themeColor="background1" w:themeShade="80"/>
        <w:sz w:val="18"/>
        <w:szCs w:val="18"/>
      </w:rPr>
      <w:fldChar w:fldCharType="end"/>
    </w:r>
    <w:r>
      <w:rPr>
        <w:rFonts w:ascii="Arial" w:hAnsi="Arial"/>
        <w:color w:val="808080" w:themeColor="background1" w:themeShade="80"/>
        <w:sz w:val="18"/>
        <w:szCs w:val="18"/>
      </w:rPr>
      <w:t xml:space="preserve"> de </w:t>
    </w:r>
    <w:r w:rsidR="009C6A64" w:rsidRPr="00E64FA8">
      <w:rPr>
        <w:rFonts w:ascii="Arial" w:hAnsi="Arial" w:cs="Arial"/>
        <w:color w:val="808080" w:themeColor="background1" w:themeShade="80"/>
        <w:sz w:val="18"/>
        <w:szCs w:val="18"/>
      </w:rPr>
      <w:fldChar w:fldCharType="begin"/>
    </w:r>
    <w:r w:rsidR="009C6A64" w:rsidRPr="00E64FA8">
      <w:rPr>
        <w:rFonts w:ascii="Arial" w:hAnsi="Arial" w:cs="Arial"/>
        <w:color w:val="808080" w:themeColor="background1" w:themeShade="80"/>
        <w:sz w:val="18"/>
        <w:szCs w:val="18"/>
      </w:rPr>
      <w:instrText xml:space="preserve"> NUMPAGES   \* MERGEFORMAT </w:instrText>
    </w:r>
    <w:r w:rsidR="009C6A64" w:rsidRPr="00E64FA8">
      <w:rPr>
        <w:rFonts w:ascii="Arial" w:hAnsi="Arial" w:cs="Arial"/>
        <w:color w:val="808080" w:themeColor="background1" w:themeShade="80"/>
        <w:sz w:val="18"/>
        <w:szCs w:val="18"/>
      </w:rPr>
      <w:fldChar w:fldCharType="separate"/>
    </w:r>
    <w:r w:rsidR="00A361ED">
      <w:rPr>
        <w:rFonts w:ascii="Arial" w:hAnsi="Arial" w:cs="Arial"/>
        <w:noProof/>
        <w:color w:val="808080" w:themeColor="background1" w:themeShade="80"/>
        <w:sz w:val="18"/>
        <w:szCs w:val="18"/>
      </w:rPr>
      <w:t>4</w:t>
    </w:r>
    <w:r w:rsidR="009C6A64" w:rsidRPr="00E64FA8">
      <w:rPr>
        <w:rFonts w:ascii="Arial" w:hAnsi="Arial" w:cs="Arial"/>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DBAA9" w14:textId="77777777" w:rsidR="00031760" w:rsidRDefault="00031760" w:rsidP="00D46581">
      <w:pPr>
        <w:spacing w:after="0" w:line="240" w:lineRule="auto"/>
      </w:pPr>
      <w:r>
        <w:separator/>
      </w:r>
    </w:p>
  </w:footnote>
  <w:footnote w:type="continuationSeparator" w:id="0">
    <w:p w14:paraId="6672A369" w14:textId="77777777" w:rsidR="00031760" w:rsidRDefault="00031760" w:rsidP="00D46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3E466" w14:textId="77777777" w:rsidR="00532C5C" w:rsidRDefault="001B3BE3" w:rsidP="001B3BE3">
    <w:pPr>
      <w:pStyle w:val="Header"/>
    </w:pPr>
    <w:r>
      <w:rPr>
        <w:b/>
        <w:noProof/>
        <w:sz w:val="18"/>
        <w:szCs w:val="18"/>
      </w:rPr>
      <w:drawing>
        <wp:inline distT="0" distB="0" distL="0" distR="0" wp14:anchorId="7953C346" wp14:editId="1D7750D0">
          <wp:extent cx="1558290" cy="571500"/>
          <wp:effectExtent l="0" t="0" r="3810" b="0"/>
          <wp:docPr id="23" name="Picture 23" descr="Centre for Aging and Brain Health Innovation, Powered by Baycrest" title="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tetda\AppData\Local\Microsoft\Windows\Temporary Internet Files\Content.Outlook\7P0GF8J7\CABHI_logo_v10_FNL LOGO_outlines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29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3DE7"/>
    <w:multiLevelType w:val="hybridMultilevel"/>
    <w:tmpl w:val="DED8C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F415A"/>
    <w:multiLevelType w:val="hybridMultilevel"/>
    <w:tmpl w:val="8F289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20831"/>
    <w:multiLevelType w:val="hybridMultilevel"/>
    <w:tmpl w:val="89EA3F96"/>
    <w:lvl w:ilvl="0" w:tplc="EFE4AF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800FE"/>
    <w:multiLevelType w:val="hybridMultilevel"/>
    <w:tmpl w:val="F8CE7D80"/>
    <w:lvl w:ilvl="0" w:tplc="04090001">
      <w:start w:val="1"/>
      <w:numFmt w:val="bullet"/>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9661D"/>
    <w:multiLevelType w:val="hybridMultilevel"/>
    <w:tmpl w:val="FE98DA3A"/>
    <w:lvl w:ilvl="0" w:tplc="D59A1A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570C9D"/>
    <w:multiLevelType w:val="hybridMultilevel"/>
    <w:tmpl w:val="B71A03D0"/>
    <w:lvl w:ilvl="0" w:tplc="04090001">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302EAE"/>
    <w:multiLevelType w:val="hybridMultilevel"/>
    <w:tmpl w:val="069AB444"/>
    <w:lvl w:ilvl="0" w:tplc="18BA1B64">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71280F"/>
    <w:multiLevelType w:val="hybridMultilevel"/>
    <w:tmpl w:val="28A6C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252133"/>
    <w:multiLevelType w:val="hybridMultilevel"/>
    <w:tmpl w:val="C890F26C"/>
    <w:lvl w:ilvl="0" w:tplc="EFE4AF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271B92"/>
    <w:multiLevelType w:val="hybridMultilevel"/>
    <w:tmpl w:val="70D2C1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001BD"/>
    <w:multiLevelType w:val="hybridMultilevel"/>
    <w:tmpl w:val="100CD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4414D3"/>
    <w:multiLevelType w:val="hybridMultilevel"/>
    <w:tmpl w:val="317237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D612B0"/>
    <w:multiLevelType w:val="hybridMultilevel"/>
    <w:tmpl w:val="640CB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6E768E"/>
    <w:multiLevelType w:val="hybridMultilevel"/>
    <w:tmpl w:val="28A6C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B7260C"/>
    <w:multiLevelType w:val="hybridMultilevel"/>
    <w:tmpl w:val="0B2E4EE8"/>
    <w:lvl w:ilvl="0" w:tplc="76D67CCE">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4E525C"/>
    <w:multiLevelType w:val="hybridMultilevel"/>
    <w:tmpl w:val="B18CEDE8"/>
    <w:lvl w:ilvl="0" w:tplc="0409000D">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146E05"/>
    <w:multiLevelType w:val="hybridMultilevel"/>
    <w:tmpl w:val="100CD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16"/>
  </w:num>
  <w:num w:numId="4">
    <w:abstractNumId w:val="12"/>
  </w:num>
  <w:num w:numId="5">
    <w:abstractNumId w:val="10"/>
  </w:num>
  <w:num w:numId="6">
    <w:abstractNumId w:val="13"/>
  </w:num>
  <w:num w:numId="7">
    <w:abstractNumId w:val="0"/>
  </w:num>
  <w:num w:numId="8">
    <w:abstractNumId w:val="14"/>
  </w:num>
  <w:num w:numId="9">
    <w:abstractNumId w:val="3"/>
  </w:num>
  <w:num w:numId="10">
    <w:abstractNumId w:val="6"/>
  </w:num>
  <w:num w:numId="11">
    <w:abstractNumId w:val="11"/>
  </w:num>
  <w:num w:numId="12">
    <w:abstractNumId w:val="8"/>
  </w:num>
  <w:num w:numId="13">
    <w:abstractNumId w:val="5"/>
  </w:num>
  <w:num w:numId="14">
    <w:abstractNumId w:val="2"/>
  </w:num>
  <w:num w:numId="15">
    <w:abstractNumId w:val="4"/>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AA0"/>
    <w:rsid w:val="00031760"/>
    <w:rsid w:val="00121060"/>
    <w:rsid w:val="001A7DCF"/>
    <w:rsid w:val="001B3BE3"/>
    <w:rsid w:val="00215A0F"/>
    <w:rsid w:val="00230D91"/>
    <w:rsid w:val="00236A58"/>
    <w:rsid w:val="00245866"/>
    <w:rsid w:val="0026463E"/>
    <w:rsid w:val="002B0B92"/>
    <w:rsid w:val="002F2D4D"/>
    <w:rsid w:val="003003B8"/>
    <w:rsid w:val="00315828"/>
    <w:rsid w:val="003174F0"/>
    <w:rsid w:val="0035282C"/>
    <w:rsid w:val="00395C9D"/>
    <w:rsid w:val="003D4EF8"/>
    <w:rsid w:val="00403DE5"/>
    <w:rsid w:val="00472E1C"/>
    <w:rsid w:val="004B5387"/>
    <w:rsid w:val="004E75D0"/>
    <w:rsid w:val="004F7F42"/>
    <w:rsid w:val="00507DCD"/>
    <w:rsid w:val="00520D5B"/>
    <w:rsid w:val="0052192A"/>
    <w:rsid w:val="00521B5D"/>
    <w:rsid w:val="00532C5C"/>
    <w:rsid w:val="005344E5"/>
    <w:rsid w:val="0054189C"/>
    <w:rsid w:val="00561B09"/>
    <w:rsid w:val="0056277B"/>
    <w:rsid w:val="0058397C"/>
    <w:rsid w:val="005A2CF8"/>
    <w:rsid w:val="005B24DB"/>
    <w:rsid w:val="005E13E3"/>
    <w:rsid w:val="00617678"/>
    <w:rsid w:val="00623405"/>
    <w:rsid w:val="00676290"/>
    <w:rsid w:val="00694B42"/>
    <w:rsid w:val="006B1D62"/>
    <w:rsid w:val="006D4C0E"/>
    <w:rsid w:val="006E68DB"/>
    <w:rsid w:val="00712C73"/>
    <w:rsid w:val="00757ECB"/>
    <w:rsid w:val="007B173C"/>
    <w:rsid w:val="008065F4"/>
    <w:rsid w:val="00813A21"/>
    <w:rsid w:val="00836CA4"/>
    <w:rsid w:val="008635D6"/>
    <w:rsid w:val="008710C1"/>
    <w:rsid w:val="008E7571"/>
    <w:rsid w:val="008F2BC4"/>
    <w:rsid w:val="00901C95"/>
    <w:rsid w:val="009139DA"/>
    <w:rsid w:val="00933DE0"/>
    <w:rsid w:val="009679F4"/>
    <w:rsid w:val="009C6A64"/>
    <w:rsid w:val="009D6AB0"/>
    <w:rsid w:val="009D7A44"/>
    <w:rsid w:val="00A12BF7"/>
    <w:rsid w:val="00A34137"/>
    <w:rsid w:val="00A361ED"/>
    <w:rsid w:val="00AA4B58"/>
    <w:rsid w:val="00AC3174"/>
    <w:rsid w:val="00B02471"/>
    <w:rsid w:val="00B20EC0"/>
    <w:rsid w:val="00B40816"/>
    <w:rsid w:val="00B473E5"/>
    <w:rsid w:val="00B6420C"/>
    <w:rsid w:val="00B81AA0"/>
    <w:rsid w:val="00BD3812"/>
    <w:rsid w:val="00BF20EB"/>
    <w:rsid w:val="00C363FC"/>
    <w:rsid w:val="00C7528A"/>
    <w:rsid w:val="00C859B7"/>
    <w:rsid w:val="00C965D0"/>
    <w:rsid w:val="00CB4FC7"/>
    <w:rsid w:val="00CC4845"/>
    <w:rsid w:val="00D043C6"/>
    <w:rsid w:val="00D14583"/>
    <w:rsid w:val="00D46581"/>
    <w:rsid w:val="00D56061"/>
    <w:rsid w:val="00D9339B"/>
    <w:rsid w:val="00DA1211"/>
    <w:rsid w:val="00DC0E4C"/>
    <w:rsid w:val="00DE45CB"/>
    <w:rsid w:val="00E508CF"/>
    <w:rsid w:val="00E52AA6"/>
    <w:rsid w:val="00E56C44"/>
    <w:rsid w:val="00E64FA8"/>
    <w:rsid w:val="00E805D3"/>
    <w:rsid w:val="00F3065D"/>
    <w:rsid w:val="00F67C9E"/>
    <w:rsid w:val="00F708E9"/>
    <w:rsid w:val="00FB1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D881A5"/>
  <w15:docId w15:val="{60D78E20-5335-4BEB-B742-3B13CD50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397C"/>
  </w:style>
  <w:style w:type="paragraph" w:styleId="Heading1">
    <w:name w:val="heading 1"/>
    <w:basedOn w:val="Normal"/>
    <w:next w:val="Normal"/>
    <w:link w:val="Heading1Char"/>
    <w:uiPriority w:val="9"/>
    <w:qFormat/>
    <w:rsid w:val="00623405"/>
    <w:pPr>
      <w:keepNext/>
      <w:keepLines/>
      <w:spacing w:before="120" w:after="120" w:line="240" w:lineRule="auto"/>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rsid w:val="00623405"/>
    <w:pPr>
      <w:keepNext/>
      <w:keepLines/>
      <w:spacing w:before="120" w:after="120" w:line="240" w:lineRule="auto"/>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AA0"/>
    <w:pPr>
      <w:ind w:left="720"/>
      <w:contextualSpacing/>
    </w:pPr>
  </w:style>
  <w:style w:type="paragraph" w:styleId="Header">
    <w:name w:val="header"/>
    <w:basedOn w:val="Normal"/>
    <w:link w:val="HeaderChar"/>
    <w:uiPriority w:val="99"/>
    <w:unhideWhenUsed/>
    <w:rsid w:val="00D4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581"/>
  </w:style>
  <w:style w:type="paragraph" w:styleId="Footer">
    <w:name w:val="footer"/>
    <w:basedOn w:val="Normal"/>
    <w:link w:val="FooterChar"/>
    <w:uiPriority w:val="99"/>
    <w:unhideWhenUsed/>
    <w:rsid w:val="00D4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581"/>
  </w:style>
  <w:style w:type="paragraph" w:styleId="BalloonText">
    <w:name w:val="Balloon Text"/>
    <w:basedOn w:val="Normal"/>
    <w:link w:val="BalloonTextChar"/>
    <w:uiPriority w:val="99"/>
    <w:semiHidden/>
    <w:unhideWhenUsed/>
    <w:rsid w:val="00D46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581"/>
    <w:rPr>
      <w:rFonts w:ascii="Tahoma" w:hAnsi="Tahoma" w:cs="Tahoma"/>
      <w:sz w:val="16"/>
      <w:szCs w:val="16"/>
    </w:rPr>
  </w:style>
  <w:style w:type="table" w:styleId="TableGrid">
    <w:name w:val="Table Grid"/>
    <w:basedOn w:val="TableNormal"/>
    <w:uiPriority w:val="59"/>
    <w:rsid w:val="00BF2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277B"/>
    <w:rPr>
      <w:color w:val="0000FF"/>
      <w:u w:val="single"/>
    </w:rPr>
  </w:style>
  <w:style w:type="character" w:customStyle="1" w:styleId="Heading1Char">
    <w:name w:val="Heading 1 Char"/>
    <w:basedOn w:val="DefaultParagraphFont"/>
    <w:link w:val="Heading1"/>
    <w:uiPriority w:val="9"/>
    <w:rsid w:val="00623405"/>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623405"/>
    <w:rPr>
      <w:rFonts w:ascii="Arial" w:eastAsiaTheme="majorEastAsia" w:hAnsi="Arial" w:cstheme="majorBidi"/>
      <w:b/>
      <w:szCs w:val="26"/>
    </w:rPr>
  </w:style>
  <w:style w:type="paragraph" w:styleId="Title">
    <w:name w:val="Title"/>
    <w:basedOn w:val="Normal"/>
    <w:next w:val="Normal"/>
    <w:link w:val="TitleChar"/>
    <w:uiPriority w:val="10"/>
    <w:qFormat/>
    <w:rsid w:val="00E805D3"/>
    <w:pPr>
      <w:spacing w:before="120" w:after="120" w:line="240" w:lineRule="auto"/>
      <w:contextualSpacing/>
      <w:jc w:val="center"/>
    </w:pPr>
    <w:rPr>
      <w:rFonts w:ascii="Arial" w:eastAsiaTheme="majorEastAsia" w:hAnsi="Arial" w:cstheme="majorBidi"/>
      <w:b/>
      <w:spacing w:val="-10"/>
      <w:kern w:val="28"/>
      <w:sz w:val="32"/>
      <w:szCs w:val="56"/>
    </w:rPr>
  </w:style>
  <w:style w:type="character" w:customStyle="1" w:styleId="TitleChar">
    <w:name w:val="Title Char"/>
    <w:basedOn w:val="DefaultParagraphFont"/>
    <w:link w:val="Title"/>
    <w:uiPriority w:val="10"/>
    <w:rsid w:val="00E805D3"/>
    <w:rPr>
      <w:rFonts w:ascii="Arial" w:eastAsiaTheme="majorEastAsia" w:hAnsi="Arial" w:cstheme="majorBidi"/>
      <w:b/>
      <w:spacing w:val="-10"/>
      <w:kern w:val="28"/>
      <w:sz w:val="32"/>
      <w:szCs w:val="56"/>
    </w:rPr>
  </w:style>
  <w:style w:type="paragraph" w:styleId="Subtitle">
    <w:name w:val="Subtitle"/>
    <w:basedOn w:val="Normal"/>
    <w:next w:val="Normal"/>
    <w:link w:val="SubtitleChar"/>
    <w:uiPriority w:val="11"/>
    <w:qFormat/>
    <w:rsid w:val="00E805D3"/>
    <w:pPr>
      <w:numPr>
        <w:ilvl w:val="1"/>
      </w:numPr>
      <w:spacing w:before="120" w:after="280"/>
      <w:jc w:val="center"/>
    </w:pPr>
    <w:rPr>
      <w:rFonts w:ascii="Arial" w:eastAsiaTheme="minorEastAsia" w:hAnsi="Arial"/>
      <w:b/>
      <w:spacing w:val="15"/>
      <w:sz w:val="28"/>
    </w:rPr>
  </w:style>
  <w:style w:type="character" w:customStyle="1" w:styleId="SubtitleChar">
    <w:name w:val="Subtitle Char"/>
    <w:basedOn w:val="DefaultParagraphFont"/>
    <w:link w:val="Subtitle"/>
    <w:uiPriority w:val="11"/>
    <w:rsid w:val="00E805D3"/>
    <w:rPr>
      <w:rFonts w:ascii="Arial" w:eastAsiaTheme="minorEastAsia" w:hAnsi="Arial"/>
      <w:b/>
      <w:spacing w:val="1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bh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7D4C8-E43E-44C4-8729-0A48F7725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1312</Words>
  <Characters>7479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Baycrest</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Webster, Ryan (2360)</dc:creator>
  <cp:lastModifiedBy>Arielle Zomer</cp:lastModifiedBy>
  <cp:revision>2</cp:revision>
  <cp:lastPrinted>2018-02-05T18:05:00Z</cp:lastPrinted>
  <dcterms:created xsi:type="dcterms:W3CDTF">2018-02-14T16:45:00Z</dcterms:created>
  <dcterms:modified xsi:type="dcterms:W3CDTF">2018-02-14T16:45:00Z</dcterms:modified>
</cp:coreProperties>
</file>